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5"/>
          <w:rFonts w:hint="eastAsia" w:ascii="方正小标宋简体" w:hAnsi="方正小标宋简体" w:eastAsia="方正小标宋简体" w:cs="方正小标宋简体"/>
          <w:b w:val="0"/>
          <w:bCs w:val="0"/>
          <w:color w:val="404040"/>
          <w:sz w:val="44"/>
          <w:szCs w:val="44"/>
        </w:rPr>
      </w:pPr>
      <w:r>
        <w:rPr>
          <w:rStyle w:val="5"/>
          <w:rFonts w:hint="eastAsia" w:ascii="方正小标宋简体" w:hAnsi="方正小标宋简体" w:eastAsia="方正小标宋简体" w:cs="方正小标宋简体"/>
          <w:b w:val="0"/>
          <w:bCs w:val="0"/>
          <w:color w:val="404040"/>
          <w:sz w:val="44"/>
          <w:szCs w:val="44"/>
          <w:lang w:eastAsia="zh-CN"/>
        </w:rPr>
        <w:t>新疆维吾尔自治区</w:t>
      </w:r>
      <w:r>
        <w:rPr>
          <w:rStyle w:val="5"/>
          <w:rFonts w:hint="eastAsia" w:ascii="方正小标宋简体" w:hAnsi="方正小标宋简体" w:eastAsia="方正小标宋简体" w:cs="方正小标宋简体"/>
          <w:b w:val="0"/>
          <w:bCs w:val="0"/>
          <w:color w:val="404040"/>
          <w:sz w:val="44"/>
          <w:szCs w:val="44"/>
        </w:rPr>
        <w:t>产业园区规划环境影响评价与建设项目环境影响评价联动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404040"/>
          <w:sz w:val="44"/>
          <w:szCs w:val="44"/>
          <w:lang w:eastAsia="zh-CN"/>
        </w:rPr>
      </w:pPr>
      <w:r>
        <w:rPr>
          <w:rStyle w:val="5"/>
          <w:rFonts w:hint="eastAsia" w:ascii="方正小标宋简体" w:hAnsi="方正小标宋简体" w:eastAsia="方正小标宋简体" w:cs="方正小标宋简体"/>
          <w:b w:val="0"/>
          <w:bCs w:val="0"/>
          <w:color w:val="404040"/>
          <w:sz w:val="44"/>
          <w:szCs w:val="44"/>
        </w:rPr>
        <w:t>试点</w:t>
      </w:r>
      <w:r>
        <w:rPr>
          <w:rStyle w:val="5"/>
          <w:rFonts w:hint="eastAsia" w:ascii="方正小标宋简体" w:hAnsi="方正小标宋简体" w:eastAsia="方正小标宋简体" w:cs="方正小标宋简体"/>
          <w:b w:val="0"/>
          <w:bCs w:val="0"/>
          <w:color w:val="404040"/>
          <w:sz w:val="44"/>
          <w:szCs w:val="44"/>
          <w:lang w:eastAsia="zh-CN"/>
        </w:rPr>
        <w:t>工作方案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2"/>
          <w:sz w:val="32"/>
          <w:szCs w:val="32"/>
          <w:lang w:val="en-US" w:eastAsia="zh-CN" w:bidi="ar-SA"/>
        </w:rPr>
      </w:pPr>
      <w:bookmarkStart w:id="1" w:name="_GoBack"/>
      <w:bookmarkEnd w:id="1"/>
      <w:r>
        <w:rPr>
          <w:rFonts w:hint="eastAsia" w:ascii="仿宋_GB2312" w:hAnsi="宋体" w:eastAsia="仿宋_GB2312" w:cs="宋体"/>
          <w:color w:val="000000"/>
          <w:kern w:val="2"/>
          <w:sz w:val="32"/>
          <w:szCs w:val="32"/>
          <w:lang w:val="en-US" w:eastAsia="zh-CN" w:bidi="ar-SA"/>
        </w:rPr>
        <w:t>贯彻落实党中央、国务院决策部署和自治区党、政府要求，协同推进经济高质量发展和生态环境高水平保护，根据生态环境部《关于进一步加强产业园区规划环境影响评价工作的意见》（环环评〔2020〕65号）、《关于进一步优化环境影响评价工作的意见》（环环评〔2023〕52号）及自治区生态环境厅《关于进一步优化环境影响评价工作的通知》（新环规〔2023〕4号）等要求，充分发挥生态环境分区管控、规划环境影响评价（以下简称规划环评）的源头指导作用，探索产业园区规划环评与建设项目环境影响评价（以下简称项目环评）的联动实践，进一步优化项目环评管理，切实发挥制度合力，提升源头预防效能，结合我区实际，制定本工作方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w:t>
      </w:r>
      <w:r>
        <w:rPr>
          <w:rStyle w:val="5"/>
          <w:rFonts w:hint="eastAsia" w:ascii="黑体" w:hAnsi="黑体" w:eastAsia="黑体" w:cs="黑体"/>
          <w:color w:val="404040"/>
          <w:sz w:val="32"/>
          <w:szCs w:val="32"/>
        </w:rPr>
        <w:t>一、</w:t>
      </w:r>
      <w:r>
        <w:rPr>
          <w:rStyle w:val="5"/>
          <w:rFonts w:hint="eastAsia" w:ascii="黑体" w:hAnsi="黑体" w:eastAsia="黑体" w:cs="黑体"/>
          <w:color w:val="404040"/>
          <w:sz w:val="32"/>
          <w:szCs w:val="32"/>
          <w:lang w:eastAsia="zh-CN"/>
        </w:rPr>
        <w:t>总体要求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仿宋_GB2312" w:eastAsia="仿宋_GB2312" w:cs="仿宋_GB2312"/>
          <w:color w:val="404040"/>
          <w:sz w:val="32"/>
          <w:szCs w:val="32"/>
        </w:rPr>
        <w:t>　</w:t>
      </w:r>
      <w:r>
        <w:rPr>
          <w:rFonts w:hint="eastAsia" w:ascii="仿宋_GB2312" w:hAnsi="宋体" w:eastAsia="仿宋_GB2312" w:cs="宋体"/>
          <w:color w:val="000000"/>
          <w:kern w:val="2"/>
          <w:sz w:val="32"/>
          <w:szCs w:val="32"/>
          <w:lang w:val="en-US" w:eastAsia="zh-CN" w:bidi="ar-SA"/>
        </w:rPr>
        <w:t>　以习近平新时代中国特色社会主义思想为指导，全面贯彻落实党的二十大精神，深入贯彻落实习近平生态文明思想，贯彻全国生态环境保护大会和全区生态环境保护大会暨荒漠化防治大会精神，贯彻落实自治区党委十届历次全会精神和自治区各片区高质量发展大会精神，立足新发展阶段，完整、准确、全面贯彻新发展理念，服务构建新发展格局，坚持试点先行，稳步推进，在环境质量符合国家及自治区相关考核要求、环境管理体系较为健全的自治区级及以上产业园区内，推行规划环评与项目环评联动改革试点，入驻产业园区的建设项目依据其环境影响程度和环境风险大小，分类优化环境影响评价办理手续，</w:t>
      </w:r>
      <w:r>
        <w:rPr>
          <w:rFonts w:hint="default" w:ascii="仿宋_GB2312" w:hAnsi="宋体" w:eastAsia="仿宋_GB2312" w:cs="宋体"/>
          <w:color w:val="000000"/>
          <w:kern w:val="2"/>
          <w:sz w:val="32"/>
          <w:szCs w:val="32"/>
          <w:lang w:val="en-US" w:eastAsia="zh-CN" w:bidi="ar-SA"/>
        </w:rPr>
        <w:t>推动政府职能向减审批、强监管、优服务方向转变，持续优化营商环境，</w:t>
      </w:r>
      <w:r>
        <w:rPr>
          <w:rFonts w:hint="eastAsia" w:ascii="仿宋_GB2312" w:hAnsi="宋体" w:eastAsia="仿宋_GB2312" w:cs="宋体"/>
          <w:color w:val="000000"/>
          <w:kern w:val="2"/>
          <w:sz w:val="32"/>
          <w:szCs w:val="32"/>
          <w:lang w:val="en-US" w:eastAsia="zh-CN" w:bidi="ar-SA"/>
        </w:rPr>
        <w:t>推动产业园区高质量发展。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404040"/>
          <w:sz w:val="32"/>
          <w:szCs w:val="32"/>
        </w:rPr>
      </w:pPr>
      <w:r>
        <w:rPr>
          <w:rFonts w:hint="eastAsia" w:ascii="黑体" w:hAnsi="黑体" w:eastAsia="黑体" w:cs="黑体"/>
          <w:color w:val="404040"/>
          <w:sz w:val="32"/>
          <w:szCs w:val="32"/>
        </w:rPr>
        <w:t>　　</w:t>
      </w:r>
      <w:r>
        <w:rPr>
          <w:rStyle w:val="5"/>
          <w:rFonts w:hint="eastAsia" w:ascii="黑体" w:hAnsi="黑体" w:eastAsia="黑体" w:cs="黑体"/>
          <w:color w:val="404040"/>
          <w:sz w:val="32"/>
          <w:szCs w:val="32"/>
        </w:rPr>
        <w:t>二、</w:t>
      </w:r>
      <w:r>
        <w:rPr>
          <w:rStyle w:val="5"/>
          <w:rFonts w:hint="eastAsia" w:ascii="黑体" w:hAnsi="黑体" w:eastAsia="黑体" w:cs="黑体"/>
          <w:color w:val="404040"/>
          <w:sz w:val="32"/>
          <w:szCs w:val="32"/>
          <w:lang w:eastAsia="zh-CN"/>
        </w:rPr>
        <w:t>试点条件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仿宋_GB2312" w:hAnsi="仿宋_GB2312" w:eastAsia="仿宋_GB2312" w:cs="仿宋_GB2312"/>
          <w:color w:val="404040"/>
          <w:sz w:val="32"/>
          <w:szCs w:val="32"/>
        </w:rPr>
        <w:t>　</w:t>
      </w:r>
      <w:r>
        <w:rPr>
          <w:rFonts w:hint="eastAsia" w:ascii="方正楷体_GBK" w:hAnsi="方正楷体_GBK" w:eastAsia="方正楷体_GBK" w:cs="方正楷体_GBK"/>
          <w:color w:val="000000"/>
          <w:kern w:val="2"/>
          <w:sz w:val="32"/>
          <w:szCs w:val="32"/>
          <w:lang w:val="en-US" w:eastAsia="zh-CN" w:bidi="ar-SA"/>
        </w:rPr>
        <w:t>　（一）产业园区应同时具备以下条件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1.属自治区级及以上产业园区；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2.已依法完成规划环评审查和规划审批，且采纳落实了规划环评结论及审查意见；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　　3.产业园区环境质量符合国家及自治区上一年度相关考核要求，未被生态环境主管部门列入区域限批范围；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　　4.产业园区环境基础设施完善、运行稳定；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　　5.产业园区环境管理和风险防控体系健全且近5年内未发生重大环境事件。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楷体_GB2312" w:hAnsi="楷体_GB2312" w:eastAsia="楷体_GB2312" w:cs="楷体_GB2312"/>
          <w:color w:val="404040"/>
          <w:sz w:val="32"/>
          <w:szCs w:val="32"/>
        </w:rPr>
      </w:pPr>
      <w:r>
        <w:rPr>
          <w:rFonts w:hint="eastAsia" w:ascii="仿宋_GB2312" w:hAnsi="仿宋_GB2312" w:eastAsia="仿宋_GB2312" w:cs="仿宋_GB2312"/>
          <w:color w:val="404040"/>
          <w:sz w:val="32"/>
          <w:szCs w:val="32"/>
        </w:rPr>
        <w:t>　　</w:t>
      </w:r>
      <w:r>
        <w:rPr>
          <w:rFonts w:hint="eastAsia" w:ascii="方正楷体_GBK" w:hAnsi="方正楷体_GBK" w:eastAsia="方正楷体_GBK" w:cs="方正楷体_GBK"/>
          <w:color w:val="000000"/>
          <w:kern w:val="2"/>
          <w:sz w:val="32"/>
          <w:szCs w:val="32"/>
          <w:lang w:val="en-US" w:eastAsia="zh-CN" w:bidi="ar-SA"/>
        </w:rPr>
        <w:t>（二）产业园区内建设项目应符合以下条件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w:t>
      </w:r>
      <w:r>
        <w:rPr>
          <w:rFonts w:hint="eastAsia" w:ascii="仿宋_GB2312" w:hAnsi="宋体" w:eastAsia="仿宋_GB2312" w:cs="宋体"/>
          <w:color w:val="000000"/>
          <w:kern w:val="2"/>
          <w:sz w:val="32"/>
          <w:szCs w:val="32"/>
          <w:lang w:val="en-US" w:eastAsia="zh-CN" w:bidi="ar-SA"/>
        </w:rPr>
        <w:t>入驻产业园区的建设项目符合园区规划功能定位、布局和区域生态环境分区管控及规划环评的环境准入要求。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color w:val="404040"/>
          <w:sz w:val="32"/>
          <w:szCs w:val="32"/>
        </w:rPr>
      </w:pPr>
      <w:r>
        <w:rPr>
          <w:rStyle w:val="5"/>
          <w:rFonts w:hint="eastAsia" w:ascii="黑体" w:hAnsi="黑体" w:eastAsia="黑体" w:cs="黑体"/>
          <w:color w:val="404040"/>
          <w:sz w:val="32"/>
          <w:szCs w:val="32"/>
        </w:rPr>
        <w:t>三、联动内容及要求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开展试点的产业园区内的项目，试行以下环评改革措施。涉重金属重点行业、涉有毒有害污染物排放、涉新污染排放的项目不得纳入此次改革，不得简化管理要求。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（一）试点推进一批登记表免予办理备案手续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对符合自治区生态环境厅《关于进一步优化环境影响评价工作的通知》（新环规〔2023〕4号）文件要求，应填报环境影响登记表的城市道路，城市管网及管廊，分布式光伏发电，基层医疗卫生服务，城镇排涝河流水闸、排涝泵站等五类建设项目，可免予环评备案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（二）继续试行环评审批告知承诺制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对符合《关于调整建设项目环评告知承诺制审批正面清单的通知》（新环环评发〔2021〕40号）要求的项目（共16大类37个小类），继续试行环评审批告知承诺制。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（三）推广一批报告表“打捆”审批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对符合自治区生态环境厅《关于进一步优化环境影响评价工作的通知》（新环规〔2023〕4号）文件要求，应编制环境影响报告表的纺织服装、服饰业，木材加工和木、竹、藤、棕、草制品业，家具制造业，文教、工美、体育和娱乐用品制造业，塑料制品业，通用设备制造业，专用设备制造业，仪器仪表制造业，金属制品、机械和设备维修业等九类建设项目，以及其他集中搬迁入园的报告表项目，可开展同类项目环评“打捆”审批，并明确相应企业的环保责任，不同建设单位分别为各自项目的责任主体，承担项目建设和生态环境保护责任。生产设施和污染防治设施不变，仅原辅料和产品发生变化的生物药品制造及其研发中试建设项目，经有审批权的生态环境部门组织确认污染物排放种类和排放量未超过原环评的，无需重新办理环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（四）简化环境影响评价内容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按照</w:t>
      </w:r>
      <w:r>
        <w:rPr>
          <w:rFonts w:hint="eastAsia" w:ascii="仿宋" w:hAnsi="仿宋" w:eastAsia="仿宋" w:cs="宋体"/>
          <w:color w:val="333333"/>
          <w:kern w:val="0"/>
          <w:sz w:val="32"/>
          <w:szCs w:val="32"/>
        </w:rPr>
        <w:t>《</w:t>
      </w:r>
      <w:r>
        <w:rPr>
          <w:rFonts w:hint="eastAsia" w:ascii="仿宋_GB2312" w:hAnsi="宋体" w:eastAsia="仿宋_GB2312" w:cs="宋体"/>
          <w:color w:val="000000"/>
          <w:kern w:val="2"/>
          <w:sz w:val="32"/>
          <w:szCs w:val="32"/>
          <w:lang w:val="en-US" w:eastAsia="zh-CN" w:bidi="ar-SA"/>
        </w:rPr>
        <w:t>建设项目环境影响评价分类管理名录（2021年版）》（生态环境部令第16号）要求应当编制环境影响报告表或环境影响报告书的项目，简化相关评价内容，具体为：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1.环境功能区判定内容可以直接引用规划环评结论；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2.环境现状监测和环境质量现状评价内容可引用规划环评中符合时效性要求的监测数据和相关内容（区域环境质量呈下降趋势或建设项目新增特征污染物的除外）；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3.依托的产业园区基础设施已按产业园区规划环评要求建设并稳定运行的，项目环评只需说明依托情况，无需开展依托可行性分析；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4.直接引用规划环评已经论述的相关法律、法规及环保政策符合性的结论，项目环评着重分析与新颁布实施的法律、法规及环保政策的符合性。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（五）简化公众参与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FF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免予开展确定环境影响报告书编制单位后的第一次公示，相关应当公开的内容纳入环境影响报告书征求意见稿形成后的</w:t>
      </w:r>
      <w:r>
        <w:rPr>
          <w:rFonts w:hint="eastAsia" w:ascii="仿宋_GB2312" w:hAnsi="宋体" w:eastAsia="仿宋_GB2312" w:cs="宋体"/>
          <w:color w:val="auto"/>
          <w:kern w:val="2"/>
          <w:sz w:val="32"/>
          <w:szCs w:val="32"/>
          <w:lang w:val="en-US" w:eastAsia="zh-CN" w:bidi="ar-SA"/>
        </w:rPr>
        <w:t>公示内容中在网络平台、报纸和张贴公告一并公开，公示时间不少于5个工作日，在报纸公开信息不得少于2次。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FF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（六）试点一批环评分类简化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FF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纳入“产业园区简化环评分类管理类别清单”（见附件1）的项目，其环境影响评价类别可由环境影响报告书简化为环境影响报告表，但不得采取环评审批告知承诺制，受理公示相应由10个工作日减为5个工作日。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方正楷体_GBK" w:hAnsi="方正楷体_GBK" w:eastAsia="方正楷体_GBK" w:cs="方正楷体_GBK"/>
          <w:color w:val="000000"/>
          <w:kern w:val="2"/>
          <w:sz w:val="32"/>
          <w:szCs w:val="32"/>
          <w:lang w:val="en" w:eastAsia="zh-CN" w:bidi="ar-SA"/>
        </w:rPr>
      </w:pPr>
      <w:r>
        <w:rPr>
          <w:rFonts w:hint="eastAsia" w:ascii="方正楷体_GBK" w:hAnsi="方正楷体_GBK" w:eastAsia="方正楷体_GBK" w:cs="方正楷体_GBK"/>
          <w:color w:val="000000"/>
          <w:kern w:val="2"/>
          <w:sz w:val="32"/>
          <w:szCs w:val="32"/>
          <w:lang w:val="en-US" w:eastAsia="zh-CN" w:bidi="ar-SA"/>
        </w:rPr>
        <w:t>（七）加强园区环境质量监测和数据共享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各地（州、市）生态环境部门指导产业园区管理机构按环境要素对产业园区区域环境质量进行统一监测和评价，梳理产业园区主要污染源、污染物排放清单和环境风险防范与应急等情况，及时公开共享。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各地（州、市）生态环境部门加强产业园区环境质量监管，通过强化对重污染或涉有毒有害污染物排放产业园区的环境质量例行监测、执法监测以及指导相关产业园区开展自动监测等手段，加强对产业园区环境质量变化情况及污染物排放情况的监管，确保区域环境质量可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（八）优化项目环评总量指标审核管理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各地（州、市）生态环境部门指导产业园区管理机构建立完善产业园区内大气、水主要污染物排放总量管理台账，动态更新，引进建设项目时，应核实未超过规划环评核定的园区环境容量。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对于需要增加主要污染物排放总量，且不属于重点行业（石化、煤化工、燃煤发电（含热电）、钢铁、有色金属冶炼、制浆造纸）的建设项目，在审批前取得各地（州、市）生态环境部门出具的总量指标或替代削减方案意见。</w:t>
      </w:r>
      <w:r>
        <w:rPr>
          <w:rFonts w:hint="eastAsia" w:ascii="仿宋_GB2312" w:hAnsi="Times New Roman" w:eastAsia="仿宋_GB2312" w:cs="Times New Roman"/>
          <w:color w:val="000000"/>
          <w:sz w:val="32"/>
          <w:highlight w:val="none"/>
        </w:rPr>
        <w:t>氮氧化物、化学需氧量、挥发性有机污染物的单项新增年排放量小于0.1吨，氨氮小于0.01吨的项目</w:t>
      </w:r>
      <w:r>
        <w:rPr>
          <w:rFonts w:hint="eastAsia" w:ascii="仿宋_GB2312" w:hAnsi="Times New Roman" w:eastAsia="仿宋_GB2312" w:cs="Times New Roman"/>
          <w:color w:val="000000"/>
          <w:sz w:val="32"/>
          <w:highlight w:val="none"/>
          <w:lang w:eastAsia="zh-CN"/>
        </w:rPr>
        <w:t>，项目</w:t>
      </w:r>
      <w:r>
        <w:rPr>
          <w:rFonts w:hint="eastAsia" w:ascii="仿宋_GB2312" w:hAnsi="Times New Roman" w:eastAsia="仿宋_GB2312" w:cs="Times New Roman"/>
          <w:color w:val="000000"/>
          <w:sz w:val="32"/>
          <w:highlight w:val="none"/>
        </w:rPr>
        <w:t>环评审批</w:t>
      </w:r>
      <w:r>
        <w:rPr>
          <w:rFonts w:hint="eastAsia" w:ascii="仿宋_GB2312" w:hAnsi="Times New Roman" w:eastAsia="仿宋_GB2312" w:cs="Times New Roman"/>
          <w:color w:val="000000"/>
          <w:sz w:val="32"/>
          <w:highlight w:val="none"/>
          <w:lang w:eastAsia="zh-CN"/>
        </w:rPr>
        <w:t>时</w:t>
      </w:r>
      <w:r>
        <w:rPr>
          <w:rFonts w:hint="eastAsia" w:ascii="仿宋_GB2312" w:hAnsi="Times New Roman" w:eastAsia="仿宋_GB2312" w:cs="Times New Roman"/>
          <w:color w:val="000000"/>
          <w:sz w:val="32"/>
          <w:highlight w:val="none"/>
        </w:rPr>
        <w:t>，建设单位免于提交主要污染物总量来源说明</w:t>
      </w:r>
      <w:r>
        <w:rPr>
          <w:rFonts w:hint="eastAsia" w:ascii="仿宋_GB2312" w:hAnsi="Times New Roman" w:eastAsia="仿宋_GB2312" w:cs="Times New Roman"/>
          <w:color w:val="000000"/>
          <w:sz w:val="32"/>
          <w:highlight w:val="none"/>
          <w:lang w:eastAsia="zh-CN"/>
        </w:rPr>
        <w:t>，由各地（州、市）生态环境部门统筹总量指标替代来源，并纳入管理台账。</w:t>
      </w:r>
      <w:r>
        <w:rPr>
          <w:rFonts w:hint="eastAsia" w:ascii="仿宋_GB2312" w:hAnsi="宋体" w:eastAsia="仿宋_GB2312" w:cs="宋体"/>
          <w:color w:val="000000"/>
          <w:kern w:val="2"/>
          <w:sz w:val="32"/>
          <w:szCs w:val="32"/>
          <w:lang w:val="en-US" w:eastAsia="zh-CN" w:bidi="ar-SA"/>
        </w:rPr>
        <w:t>对于属于重点行业的建设项目，按照《生态环境部办公厅</w:t>
      </w:r>
      <w:r>
        <w:rPr>
          <w:rFonts w:hint="eastAsia" w:ascii="仿宋_GB2312" w:hAnsi="宋体" w:eastAsia="仿宋_GB2312" w:cs="宋体"/>
          <w:color w:val="000000"/>
          <w:kern w:val="2"/>
          <w:sz w:val="32"/>
          <w:szCs w:val="32"/>
          <w:lang w:val="en-US" w:eastAsia="zh-CN" w:bidi="ar-SA"/>
        </w:rPr>
        <w:fldChar w:fldCharType="begin"/>
      </w:r>
      <w:r>
        <w:rPr>
          <w:rFonts w:hint="eastAsia" w:ascii="仿宋_GB2312" w:hAnsi="宋体" w:eastAsia="仿宋_GB2312" w:cs="宋体"/>
          <w:color w:val="000000"/>
          <w:kern w:val="2"/>
          <w:sz w:val="32"/>
          <w:szCs w:val="32"/>
          <w:lang w:val="en-US" w:eastAsia="zh-CN" w:bidi="ar-SA"/>
        </w:rPr>
        <w:instrText xml:space="preserve"> HYPERLINK "http://www.mee.gov.cn/xxgk2018/xxgk/xxgk05/202101/t20210108_816592.html" </w:instrText>
      </w:r>
      <w:r>
        <w:rPr>
          <w:rFonts w:hint="eastAsia" w:ascii="仿宋_GB2312" w:hAnsi="宋体" w:eastAsia="仿宋_GB2312" w:cs="宋体"/>
          <w:color w:val="000000"/>
          <w:kern w:val="2"/>
          <w:sz w:val="32"/>
          <w:szCs w:val="32"/>
          <w:lang w:val="en-US" w:eastAsia="zh-CN" w:bidi="ar-SA"/>
        </w:rPr>
        <w:fldChar w:fldCharType="separate"/>
      </w:r>
      <w:r>
        <w:rPr>
          <w:rFonts w:hint="eastAsia" w:ascii="仿宋_GB2312" w:hAnsi="宋体" w:eastAsia="仿宋_GB2312" w:cs="宋体"/>
          <w:color w:val="000000"/>
          <w:kern w:val="2"/>
          <w:sz w:val="32"/>
          <w:szCs w:val="32"/>
          <w:lang w:val="en-US" w:eastAsia="zh-CN" w:bidi="ar-SA"/>
        </w:rPr>
        <w:t>关于加强重点行业建设项目区域削减措施监督管理的通知</w:t>
      </w:r>
      <w:r>
        <w:rPr>
          <w:rFonts w:hint="eastAsia" w:ascii="仿宋_GB2312" w:hAnsi="宋体" w:eastAsia="仿宋_GB2312" w:cs="宋体"/>
          <w:color w:val="000000"/>
          <w:kern w:val="2"/>
          <w:sz w:val="32"/>
          <w:szCs w:val="32"/>
          <w:lang w:val="en-US" w:eastAsia="zh-CN" w:bidi="ar-SA"/>
        </w:rPr>
        <w:fldChar w:fldCharType="end"/>
      </w:r>
      <w:r>
        <w:rPr>
          <w:rFonts w:hint="eastAsia" w:ascii="仿宋_GB2312" w:hAnsi="宋体" w:eastAsia="仿宋_GB2312" w:cs="宋体"/>
          <w:color w:val="000000"/>
          <w:kern w:val="2"/>
          <w:sz w:val="32"/>
          <w:szCs w:val="32"/>
          <w:lang w:val="en-US" w:eastAsia="zh-CN" w:bidi="ar-SA"/>
        </w:rPr>
        <w:t>》（环办环评〔2020〕36号）和自治区生态环境厅《关于进一步优化环境影响评价工作的通知》（新环规〔2023〕4号）有关规定执行。在项目投产前，未提交替代削减措施落实情况证明材料的，不得核发排污许可证，项目不得投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default" w:ascii="仿宋_GB2312" w:hAnsi="仿宋_GB2312" w:eastAsia="仿宋_GB2312" w:cs="仿宋_GB2312"/>
          <w:color w:val="000000"/>
          <w:sz w:val="32"/>
          <w:szCs w:val="32"/>
          <w:highlight w:val="none"/>
          <w:lang w:val="en-US" w:eastAsia="zh-CN"/>
        </w:rPr>
      </w:pPr>
      <w:r>
        <w:rPr>
          <w:rFonts w:hint="eastAsia" w:ascii="楷体_GB2312" w:hAnsi="等线" w:eastAsia="楷体_GB2312" w:cs="Times New Roman"/>
          <w:b w:val="0"/>
          <w:bCs w:val="0"/>
          <w:color w:val="000000"/>
          <w:sz w:val="32"/>
          <w:szCs w:val="36"/>
          <w:highlight w:val="none"/>
          <w:lang w:eastAsia="zh-CN"/>
        </w:rPr>
        <w:t>（九）探索推进“两证审批合一”。</w:t>
      </w:r>
      <w:r>
        <w:rPr>
          <w:rFonts w:hint="eastAsia" w:ascii="仿宋_GB2312" w:hAnsi="仿宋_GB2312" w:eastAsia="仿宋_GB2312" w:cs="仿宋_GB2312"/>
          <w:color w:val="000000"/>
          <w:sz w:val="32"/>
          <w:szCs w:val="32"/>
          <w:highlight w:val="none"/>
          <w:lang w:eastAsia="zh-CN"/>
        </w:rPr>
        <w:t>生产工艺相对单一、环境影响较小、建设周期短且按规定应当编制环境影响报告表的农副产品加工业，食品制造业，酒、饮料制造业，纺织服装、服饰业，制鞋业，印刷业，通用设备制造业，专用设备制造业，加油、加气站，汽车、摩托车等修理与维护业，自来水生产和供应业，天然气锅炉等十二类建设项目，在企业自愿的原则下，可探索实施环评与排污许可“两证审批合一”，在项目开工建设前，接续办理环评与排污许可手续。建设过程中发生环评重大变动的，依法重新办理环评和排污许可证；不属于重大变动的，无需重新办理环评，排污前一次性变更排污许可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Style w:val="5"/>
          <w:rFonts w:hint="eastAsia" w:ascii="黑体" w:hAnsi="黑体" w:eastAsia="黑体" w:cs="黑体"/>
          <w:color w:val="404040"/>
          <w:sz w:val="32"/>
          <w:szCs w:val="32"/>
        </w:rPr>
      </w:pPr>
      <w:r>
        <w:rPr>
          <w:rFonts w:hint="eastAsia" w:ascii="仿宋_GB2312" w:hAnsi="仿宋_GB2312" w:eastAsia="仿宋_GB2312" w:cs="仿宋_GB2312"/>
          <w:color w:val="404040"/>
          <w:sz w:val="32"/>
          <w:szCs w:val="32"/>
        </w:rPr>
        <w:t>　</w:t>
      </w:r>
      <w:r>
        <w:rPr>
          <w:rFonts w:hint="eastAsia" w:ascii="黑体" w:hAnsi="黑体" w:eastAsia="黑体" w:cs="黑体"/>
          <w:color w:val="404040"/>
          <w:sz w:val="32"/>
          <w:szCs w:val="32"/>
          <w:highlight w:val="none"/>
        </w:rPr>
        <w:t>　</w:t>
      </w:r>
      <w:r>
        <w:rPr>
          <w:rStyle w:val="5"/>
          <w:rFonts w:hint="eastAsia" w:ascii="黑体" w:hAnsi="黑体" w:eastAsia="黑体" w:cs="黑体"/>
          <w:color w:val="404040"/>
          <w:sz w:val="32"/>
          <w:szCs w:val="32"/>
        </w:rPr>
        <w:t>四、认定</w:t>
      </w:r>
      <w:r>
        <w:rPr>
          <w:rStyle w:val="5"/>
          <w:rFonts w:hint="eastAsia" w:ascii="黑体" w:hAnsi="黑体" w:eastAsia="黑体" w:cs="黑体"/>
          <w:color w:val="404040"/>
          <w:sz w:val="32"/>
          <w:szCs w:val="32"/>
          <w:lang w:eastAsia="zh-CN"/>
        </w:rPr>
        <w:t>、</w:t>
      </w:r>
      <w:r>
        <w:rPr>
          <w:rStyle w:val="5"/>
          <w:rFonts w:hint="eastAsia" w:ascii="黑体" w:hAnsi="黑体" w:eastAsia="黑体" w:cs="黑体"/>
          <w:color w:val="404040"/>
          <w:sz w:val="32"/>
          <w:szCs w:val="32"/>
          <w:lang w:val="en-US" w:eastAsia="zh-CN"/>
        </w:rPr>
        <w:t>跟踪评估、退出</w:t>
      </w:r>
      <w:r>
        <w:rPr>
          <w:rStyle w:val="5"/>
          <w:rFonts w:hint="eastAsia" w:ascii="黑体" w:hAnsi="黑体" w:eastAsia="黑体" w:cs="黑体"/>
          <w:color w:val="404040"/>
          <w:sz w:val="32"/>
          <w:szCs w:val="32"/>
        </w:rPr>
        <w:t>程序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404040"/>
          <w:sz w:val="32"/>
          <w:szCs w:val="32"/>
          <w:lang w:eastAsia="zh-CN"/>
        </w:rPr>
      </w:pPr>
      <w:r>
        <w:rPr>
          <w:rFonts w:hint="eastAsia" w:ascii="方正楷体_GBK" w:hAnsi="方正楷体_GBK" w:eastAsia="方正楷体_GBK" w:cs="方正楷体_GBK"/>
          <w:color w:val="000000"/>
          <w:kern w:val="2"/>
          <w:sz w:val="32"/>
          <w:szCs w:val="32"/>
          <w:lang w:val="en-US" w:eastAsia="zh-CN" w:bidi="ar-SA"/>
        </w:rPr>
        <w:t>（一）组织申报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符合试点条件的产业园区，按照自愿申请原则由产业园区管理机构进行申报，对照附件提交相关材料至所地（州、市）生态环境局。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（二）初步审核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宋体"/>
          <w:color w:val="000000"/>
          <w:kern w:val="2"/>
          <w:sz w:val="32"/>
          <w:szCs w:val="32"/>
          <w:lang w:val="en-US" w:eastAsia="zh-CN" w:bidi="ar-SA"/>
        </w:rPr>
      </w:pPr>
      <w:r>
        <w:rPr>
          <w:rFonts w:hint="eastAsia" w:ascii="仿宋_GB2312" w:eastAsia="仿宋_GB2312" w:cs="宋体"/>
          <w:color w:val="000000"/>
          <w:kern w:val="2"/>
          <w:sz w:val="32"/>
          <w:szCs w:val="32"/>
          <w:lang w:val="en-US" w:eastAsia="zh-CN" w:bidi="ar-SA"/>
        </w:rPr>
        <w:t>各地（州、市）生态环境局组织对产业园区管理机构提交的申报材料进行初步审核，指导对照附件补充完善相应材料，于每年的5月底前，会同产业园区将申请材料报送自治区生态环境厅。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（三）审核发布　</w:t>
      </w:r>
      <w:r>
        <w:rPr>
          <w:rFonts w:hint="eastAsia" w:ascii="仿宋_GB2312" w:hAnsi="宋体" w:eastAsia="仿宋_GB2312" w:cs="宋体"/>
          <w:color w:val="000000"/>
          <w:kern w:val="2"/>
          <w:sz w:val="32"/>
          <w:szCs w:val="32"/>
          <w:lang w:val="en-US" w:eastAsia="zh-CN" w:bidi="ar-SA"/>
        </w:rPr>
        <w:t>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自治区生态环境厅组织开展</w:t>
      </w:r>
      <w:r>
        <w:rPr>
          <w:rFonts w:hint="eastAsia" w:ascii="仿宋_GB2312" w:eastAsia="仿宋_GB2312" w:cs="宋体"/>
          <w:color w:val="000000"/>
          <w:kern w:val="2"/>
          <w:sz w:val="32"/>
          <w:szCs w:val="32"/>
          <w:lang w:val="en-US" w:eastAsia="zh-CN" w:bidi="ar-SA"/>
        </w:rPr>
        <w:t>审核</w:t>
      </w:r>
      <w:r>
        <w:rPr>
          <w:rFonts w:hint="eastAsia" w:ascii="仿宋_GB2312" w:hAnsi="宋体" w:eastAsia="仿宋_GB2312" w:cs="宋体"/>
          <w:color w:val="000000"/>
          <w:kern w:val="2"/>
          <w:sz w:val="32"/>
          <w:szCs w:val="32"/>
          <w:lang w:val="en-US" w:eastAsia="zh-CN" w:bidi="ar-SA"/>
        </w:rPr>
        <w:t>工作，</w:t>
      </w:r>
      <w:r>
        <w:rPr>
          <w:rFonts w:hint="eastAsia" w:ascii="仿宋_GB2312" w:eastAsia="仿宋_GB2312" w:cs="宋体"/>
          <w:color w:val="000000"/>
          <w:kern w:val="2"/>
          <w:sz w:val="32"/>
          <w:szCs w:val="32"/>
          <w:lang w:val="en-US" w:eastAsia="zh-CN" w:bidi="ar-SA"/>
        </w:rPr>
        <w:t>根据审核情况，及时发布开展规划环评与项目环评联动改革试点的产业园区名单，向社会公开，并报生态环境部，相关产业园区开展改革试点工作。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　　</w:t>
      </w:r>
      <w:r>
        <w:rPr>
          <w:rFonts w:hint="eastAsia" w:ascii="方正楷体_GBK" w:hAnsi="方正楷体_GBK" w:eastAsia="方正楷体_GBK" w:cs="方正楷体_GBK"/>
          <w:color w:val="000000"/>
          <w:kern w:val="2"/>
          <w:sz w:val="32"/>
          <w:szCs w:val="32"/>
          <w:lang w:val="en-US" w:eastAsia="zh-CN" w:bidi="ar-SA"/>
        </w:rPr>
        <w:t>（四）跟踪评估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各产业园区联动试点满一年后要对认定条件、联动</w:t>
      </w:r>
      <w:r>
        <w:rPr>
          <w:rFonts w:hint="eastAsia" w:ascii="仿宋_GB2312" w:eastAsia="仿宋_GB2312" w:cs="宋体"/>
          <w:color w:val="000000"/>
          <w:kern w:val="2"/>
          <w:sz w:val="32"/>
          <w:szCs w:val="32"/>
          <w:lang w:val="en-US" w:eastAsia="zh-CN" w:bidi="ar-SA"/>
        </w:rPr>
        <w:t>改革</w:t>
      </w:r>
      <w:r>
        <w:rPr>
          <w:rFonts w:hint="eastAsia" w:ascii="仿宋_GB2312" w:hAnsi="宋体" w:eastAsia="仿宋_GB2312" w:cs="宋体"/>
          <w:color w:val="000000"/>
          <w:kern w:val="2"/>
          <w:sz w:val="32"/>
          <w:szCs w:val="32"/>
          <w:lang w:val="en-US" w:eastAsia="zh-CN" w:bidi="ar-SA"/>
        </w:rPr>
        <w:t>试点成效进行跟踪评估，</w:t>
      </w:r>
      <w:r>
        <w:rPr>
          <w:rFonts w:hint="eastAsia" w:ascii="仿宋_GB2312" w:eastAsia="仿宋_GB2312" w:cs="宋体"/>
          <w:color w:val="000000"/>
          <w:kern w:val="2"/>
          <w:sz w:val="32"/>
          <w:szCs w:val="32"/>
          <w:lang w:val="en-US" w:eastAsia="zh-CN" w:bidi="ar-SA"/>
        </w:rPr>
        <w:t>总结经验做法、存在的主要问题及相关意见建议，</w:t>
      </w:r>
      <w:r>
        <w:rPr>
          <w:rFonts w:hint="eastAsia" w:ascii="仿宋_GB2312" w:hAnsi="宋体" w:eastAsia="仿宋_GB2312" w:cs="宋体"/>
          <w:color w:val="000000"/>
          <w:kern w:val="2"/>
          <w:sz w:val="32"/>
          <w:szCs w:val="32"/>
          <w:lang w:val="en-US" w:eastAsia="zh-CN" w:bidi="ar-SA"/>
        </w:rPr>
        <w:t>并将评估结果及时上报自治区生态环境厅核查备案。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404040"/>
          <w:sz w:val="32"/>
          <w:szCs w:val="32"/>
          <w:lang w:eastAsia="zh-CN"/>
        </w:rPr>
      </w:pPr>
      <w:r>
        <w:rPr>
          <w:rFonts w:hint="eastAsia" w:ascii="方正楷体_GBK" w:hAnsi="方正楷体_GBK" w:eastAsia="方正楷体_GBK" w:cs="方正楷体_GBK"/>
          <w:color w:val="000000"/>
          <w:kern w:val="2"/>
          <w:sz w:val="32"/>
          <w:szCs w:val="32"/>
          <w:lang w:val="en-US" w:eastAsia="zh-CN" w:bidi="ar-SA"/>
        </w:rPr>
        <w:t>（五）终止或退出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404040"/>
          <w:sz w:val="32"/>
          <w:szCs w:val="32"/>
        </w:rPr>
      </w:pPr>
      <w:r>
        <w:rPr>
          <w:rFonts w:hint="eastAsia" w:ascii="仿宋_GB2312" w:hAnsi="宋体" w:eastAsia="仿宋_GB2312" w:cs="宋体"/>
          <w:color w:val="000000"/>
          <w:kern w:val="2"/>
          <w:sz w:val="32"/>
          <w:szCs w:val="32"/>
          <w:lang w:val="en-US" w:eastAsia="zh-CN" w:bidi="ar-SA"/>
        </w:rPr>
        <w:t>对于联动试点中出现重大问题的</w:t>
      </w:r>
      <w:r>
        <w:rPr>
          <w:rFonts w:hint="eastAsia" w:ascii="仿宋_GB2312" w:eastAsia="仿宋_GB2312" w:cs="宋体"/>
          <w:color w:val="000000"/>
          <w:kern w:val="2"/>
          <w:sz w:val="32"/>
          <w:szCs w:val="32"/>
          <w:lang w:val="en-US" w:eastAsia="zh-CN" w:bidi="ar-SA"/>
        </w:rPr>
        <w:t>产业</w:t>
      </w:r>
      <w:r>
        <w:rPr>
          <w:rFonts w:hint="eastAsia" w:ascii="仿宋_GB2312" w:hAnsi="宋体" w:eastAsia="仿宋_GB2312" w:cs="宋体"/>
          <w:color w:val="000000"/>
          <w:kern w:val="2"/>
          <w:sz w:val="32"/>
          <w:szCs w:val="32"/>
          <w:lang w:val="en-US" w:eastAsia="zh-CN" w:bidi="ar-SA"/>
        </w:rPr>
        <w:t>园区，自治区生态环境厅将随时终止该产业园区的联动</w:t>
      </w:r>
      <w:r>
        <w:rPr>
          <w:rFonts w:hint="eastAsia" w:ascii="仿宋_GB2312" w:eastAsia="仿宋_GB2312" w:cs="宋体"/>
          <w:color w:val="000000"/>
          <w:kern w:val="2"/>
          <w:sz w:val="32"/>
          <w:szCs w:val="32"/>
          <w:lang w:val="en-US" w:eastAsia="zh-CN" w:bidi="ar-SA"/>
        </w:rPr>
        <w:t>改革</w:t>
      </w:r>
      <w:r>
        <w:rPr>
          <w:rFonts w:hint="eastAsia" w:ascii="仿宋_GB2312" w:hAnsi="宋体" w:eastAsia="仿宋_GB2312" w:cs="宋体"/>
          <w:color w:val="000000"/>
          <w:kern w:val="2"/>
          <w:sz w:val="32"/>
          <w:szCs w:val="32"/>
          <w:lang w:val="en-US" w:eastAsia="zh-CN" w:bidi="ar-SA"/>
        </w:rPr>
        <w:t>试点。通过跟踪评估，不满足认定条件的产业园区退出改革试点，自治区生态环境厅</w:t>
      </w:r>
      <w:r>
        <w:rPr>
          <w:rFonts w:hint="eastAsia" w:ascii="仿宋_GB2312" w:eastAsia="仿宋_GB2312" w:cs="宋体"/>
          <w:color w:val="000000"/>
          <w:kern w:val="2"/>
          <w:sz w:val="32"/>
          <w:szCs w:val="32"/>
          <w:lang w:val="en-US" w:eastAsia="zh-CN" w:bidi="ar-SA"/>
        </w:rPr>
        <w:t>及时</w:t>
      </w:r>
      <w:r>
        <w:rPr>
          <w:rFonts w:hint="eastAsia" w:ascii="仿宋_GB2312" w:hAnsi="宋体" w:eastAsia="仿宋_GB2312" w:cs="宋体"/>
          <w:color w:val="000000"/>
          <w:kern w:val="2"/>
          <w:sz w:val="32"/>
          <w:szCs w:val="32"/>
          <w:lang w:val="en-US" w:eastAsia="zh-CN" w:bidi="ar-SA"/>
        </w:rPr>
        <w:t>发布退出规划环评与项目环评联动</w:t>
      </w:r>
      <w:r>
        <w:rPr>
          <w:rFonts w:hint="eastAsia" w:ascii="仿宋_GB2312" w:eastAsia="仿宋_GB2312" w:cs="宋体"/>
          <w:color w:val="000000"/>
          <w:kern w:val="2"/>
          <w:sz w:val="32"/>
          <w:szCs w:val="32"/>
          <w:lang w:val="en-US" w:eastAsia="zh-CN" w:bidi="ar-SA"/>
        </w:rPr>
        <w:t>改革</w:t>
      </w:r>
      <w:r>
        <w:rPr>
          <w:rFonts w:hint="eastAsia" w:ascii="仿宋_GB2312" w:hAnsi="宋体" w:eastAsia="仿宋_GB2312" w:cs="宋体"/>
          <w:color w:val="000000"/>
          <w:kern w:val="2"/>
          <w:sz w:val="32"/>
          <w:szCs w:val="32"/>
          <w:lang w:val="en-US" w:eastAsia="zh-CN" w:bidi="ar-SA"/>
        </w:rPr>
        <w:t>试点产业园区名单。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Style w:val="5"/>
          <w:rFonts w:hint="eastAsia" w:ascii="黑体" w:hAnsi="黑体" w:eastAsia="黑体" w:cs="黑体"/>
          <w:color w:val="404040"/>
          <w:sz w:val="32"/>
          <w:szCs w:val="32"/>
        </w:rPr>
      </w:pPr>
      <w:r>
        <w:rPr>
          <w:rFonts w:hint="eastAsia" w:ascii="仿宋_GB2312" w:hAnsi="仿宋_GB2312" w:eastAsia="仿宋_GB2312" w:cs="仿宋_GB2312"/>
          <w:color w:val="404040"/>
          <w:sz w:val="32"/>
          <w:szCs w:val="32"/>
        </w:rPr>
        <w:t>　　</w:t>
      </w:r>
      <w:r>
        <w:rPr>
          <w:rStyle w:val="5"/>
          <w:rFonts w:hint="eastAsia" w:ascii="黑体" w:hAnsi="黑体" w:eastAsia="黑体" w:cs="黑体"/>
          <w:color w:val="404040"/>
          <w:sz w:val="32"/>
          <w:szCs w:val="32"/>
        </w:rPr>
        <w:t>五、落实各方责任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自治区、各地州市生态环境主管部门、产业园区管理部门、入驻企业（建设单位）要形成合力，高质量推动规划环评与项目环评联动工作，切实发挥规划环评优化产业布局与生态安全格局的作用，推动经济高质量发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（一）生态环境主管部门要加强服务和监管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自治区、各地（州、市）生态环境主管部门做好规划环评与项目环评联动政策宣传；结合</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双随机</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抽查，加强事中事后监管，及时核查发生重大不良影响的规划，向产业园区管理部门提出改进意见或建议，严格依法依规处理破坏生态环境行为；通过强化信息公开、公众监督等方式，构建政府、企业、公众三方参与的综合监管体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各地</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州</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市</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生态环境主管部门组织开展产业园区规划环评落实情况检查，对未落实规划环评有关要求的，予以督促整改；加强对产业园区环境质量变化情况及污染物排放情况监管，依法开展执法监测，落实监管责任。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（二）产业园区管理部门要加强统筹管理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按照国家和自治区相关规定，组织开展规划环评编制工作</w:t>
      </w:r>
      <w:r>
        <w:rPr>
          <w:rFonts w:hint="eastAsia" w:ascii="仿宋_GB2312" w:eastAsia="仿宋_GB2312" w:cs="宋体"/>
          <w:color w:val="000000"/>
          <w:kern w:val="2"/>
          <w:sz w:val="32"/>
          <w:szCs w:val="32"/>
          <w:lang w:val="en-US" w:eastAsia="zh-CN" w:bidi="ar-SA"/>
        </w:rPr>
        <w:t>并</w:t>
      </w:r>
      <w:r>
        <w:rPr>
          <w:rFonts w:hint="eastAsia" w:ascii="仿宋_GB2312" w:hAnsi="宋体" w:eastAsia="仿宋_GB2312" w:cs="宋体"/>
          <w:color w:val="000000"/>
          <w:kern w:val="2"/>
          <w:sz w:val="32"/>
          <w:szCs w:val="32"/>
          <w:lang w:val="en-US" w:eastAsia="zh-CN" w:bidi="ar-SA"/>
        </w:rPr>
        <w:t>积极开展碳排放评价；组织落实规划环评结论和审查意见要求，重点关注污染物总量控制和减排任务；组织开展园区环境监测，对存在的生态环境问题组织整改，</w:t>
      </w:r>
      <w:r>
        <w:rPr>
          <w:rFonts w:hint="eastAsia" w:ascii="仿宋_GB2312" w:eastAsia="仿宋_GB2312" w:cs="宋体"/>
          <w:color w:val="000000"/>
          <w:kern w:val="2"/>
          <w:sz w:val="32"/>
          <w:szCs w:val="32"/>
          <w:lang w:val="en-US" w:eastAsia="zh-CN" w:bidi="ar-SA"/>
        </w:rPr>
        <w:t>落</w:t>
      </w:r>
      <w:r>
        <w:rPr>
          <w:rFonts w:hint="eastAsia" w:ascii="仿宋_GB2312" w:hAnsi="宋体" w:eastAsia="仿宋_GB2312" w:cs="宋体"/>
          <w:color w:val="000000"/>
          <w:kern w:val="2"/>
          <w:sz w:val="32"/>
          <w:szCs w:val="32"/>
          <w:lang w:val="en-US" w:eastAsia="zh-CN" w:bidi="ar-SA"/>
        </w:rPr>
        <w:t>实环境保护责任；对可能产生重大生态环境影响、实施5年且未发生重大调整的，组织开展跟踪评价;对已经批准的规划，其实施范围、适用期限、规模、结构和布局等方面进行重大调整或者修订的，组织重新或者补充进行环境影响评价;组织开展生态环境相关政策宣讲，指导、帮扶园区内入驻企业（建设单位）落实联动措施；做好规划环评中相关数据资料共享，为简化评价内容提供便利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（三）入驻企业（建设单位）要落实生态环境主体责任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eastAsia="仿宋_GB2312" w:cs="宋体"/>
          <w:color w:val="000000"/>
          <w:kern w:val="2"/>
          <w:sz w:val="32"/>
          <w:szCs w:val="32"/>
          <w:lang w:val="en-US" w:eastAsia="zh-CN" w:bidi="ar-SA"/>
        </w:rPr>
        <w:t>产业</w:t>
      </w:r>
      <w:r>
        <w:rPr>
          <w:rFonts w:hint="eastAsia" w:ascii="仿宋_GB2312" w:hAnsi="宋体" w:eastAsia="仿宋_GB2312" w:cs="宋体"/>
          <w:color w:val="000000"/>
          <w:kern w:val="2"/>
          <w:sz w:val="32"/>
          <w:szCs w:val="32"/>
          <w:lang w:val="en-US" w:eastAsia="zh-CN" w:bidi="ar-SA"/>
        </w:rPr>
        <w:t>园区内入驻企业（建设单位）应严格遵守生态环境相关法律法规</w:t>
      </w:r>
      <w:r>
        <w:rPr>
          <w:rFonts w:hint="eastAsia" w:ascii="仿宋_GB2312" w:eastAsia="仿宋_GB2312" w:cs="宋体"/>
          <w:color w:val="000000"/>
          <w:kern w:val="2"/>
          <w:sz w:val="32"/>
          <w:szCs w:val="32"/>
          <w:lang w:val="en-US" w:eastAsia="zh-CN" w:bidi="ar-SA"/>
        </w:rPr>
        <w:t>规定</w:t>
      </w:r>
      <w:r>
        <w:rPr>
          <w:rFonts w:hint="eastAsia" w:ascii="仿宋_GB2312" w:hAnsi="宋体" w:eastAsia="仿宋_GB2312" w:cs="宋体"/>
          <w:color w:val="000000"/>
          <w:kern w:val="2"/>
          <w:sz w:val="32"/>
          <w:szCs w:val="32"/>
          <w:lang w:val="en-US" w:eastAsia="zh-CN" w:bidi="ar-SA"/>
        </w:rPr>
        <w:t>，切实履行生态环境保护主体责任，落实环境风险防范责任，做好各项生态环境保护措施，特别是环评文件、环评批复和排污许可上载明的生态环境保护措施，确保污染物达标排放。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对免于办理环评手续的项目，不免除建设单位（入驻企业）保护生态环境的法定义务。建设单位（入驻企业）应当按照建设项目环境保护管理相关要求，做好项目环保设计,落实法律、法规、标准及相</w:t>
      </w:r>
      <w:r>
        <w:rPr>
          <w:rFonts w:hint="eastAsia" w:ascii="仿宋_GB2312" w:eastAsia="仿宋_GB2312" w:cs="宋体"/>
          <w:color w:val="000000"/>
          <w:kern w:val="2"/>
          <w:sz w:val="32"/>
          <w:szCs w:val="32"/>
          <w:lang w:val="en-US" w:eastAsia="zh-CN" w:bidi="ar-SA"/>
        </w:rPr>
        <w:t>关</w:t>
      </w:r>
      <w:r>
        <w:rPr>
          <w:rFonts w:hint="eastAsia" w:ascii="仿宋_GB2312" w:hAnsi="宋体" w:eastAsia="仿宋_GB2312" w:cs="宋体"/>
          <w:color w:val="000000"/>
          <w:kern w:val="2"/>
          <w:sz w:val="32"/>
          <w:szCs w:val="32"/>
          <w:lang w:val="en-US" w:eastAsia="zh-CN" w:bidi="ar-SA"/>
        </w:rPr>
        <w:t>技术规范提出的各项生态环境保护要求。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5"/>
          <w:rFonts w:hint="eastAsia" w:ascii="黑体" w:hAnsi="黑体" w:eastAsia="黑体" w:cs="黑体"/>
          <w:color w:val="404040"/>
          <w:sz w:val="32"/>
          <w:szCs w:val="32"/>
          <w:lang w:val="en-US" w:eastAsia="zh-CN"/>
        </w:rPr>
      </w:pPr>
      <w:r>
        <w:rPr>
          <w:rStyle w:val="5"/>
          <w:rFonts w:hint="eastAsia" w:ascii="黑体" w:hAnsi="黑体" w:eastAsia="黑体" w:cs="黑体"/>
          <w:color w:val="404040"/>
          <w:sz w:val="32"/>
          <w:szCs w:val="32"/>
          <w:lang w:val="en-US" w:eastAsia="zh-CN"/>
        </w:rPr>
        <w:t>六、试点要求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各相关生态环境主管部门要做好对联动试点产业园区相关工作的</w:t>
      </w:r>
      <w:r>
        <w:rPr>
          <w:rFonts w:hint="eastAsia" w:ascii="仿宋_GB2312" w:eastAsia="仿宋_GB2312" w:cs="宋体"/>
          <w:color w:val="000000"/>
          <w:kern w:val="2"/>
          <w:sz w:val="32"/>
          <w:szCs w:val="32"/>
          <w:lang w:val="en-US" w:eastAsia="zh-CN" w:bidi="ar-SA"/>
        </w:rPr>
        <w:t>指导</w:t>
      </w:r>
      <w:r>
        <w:rPr>
          <w:rFonts w:hint="eastAsia" w:ascii="仿宋_GB2312" w:hAnsi="宋体" w:eastAsia="仿宋_GB2312" w:cs="宋体"/>
          <w:color w:val="000000"/>
          <w:kern w:val="2"/>
          <w:sz w:val="32"/>
          <w:szCs w:val="32"/>
          <w:lang w:val="en-US" w:eastAsia="zh-CN" w:bidi="ar-SA"/>
        </w:rPr>
        <w:t>调度，及时发现问题，</w:t>
      </w:r>
      <w:r>
        <w:rPr>
          <w:rFonts w:hint="eastAsia" w:ascii="仿宋_GB2312" w:eastAsia="仿宋_GB2312" w:cs="宋体"/>
          <w:color w:val="000000"/>
          <w:kern w:val="2"/>
          <w:sz w:val="32"/>
          <w:szCs w:val="32"/>
          <w:lang w:val="en-US" w:eastAsia="zh-CN" w:bidi="ar-SA"/>
        </w:rPr>
        <w:t>并</w:t>
      </w:r>
      <w:r>
        <w:rPr>
          <w:rFonts w:hint="eastAsia" w:ascii="仿宋_GB2312" w:hAnsi="宋体" w:eastAsia="仿宋_GB2312" w:cs="宋体"/>
          <w:color w:val="000000"/>
          <w:kern w:val="2"/>
          <w:sz w:val="32"/>
          <w:szCs w:val="32"/>
          <w:lang w:val="en-US" w:eastAsia="zh-CN" w:bidi="ar-SA"/>
        </w:rPr>
        <w:t>报告自治区生态环境厅；</w:t>
      </w:r>
      <w:r>
        <w:rPr>
          <w:rFonts w:hint="eastAsia" w:ascii="仿宋_GB2312" w:eastAsia="仿宋_GB2312" w:cs="宋体"/>
          <w:color w:val="000000"/>
          <w:kern w:val="2"/>
          <w:sz w:val="32"/>
          <w:szCs w:val="32"/>
          <w:lang w:val="en-US" w:eastAsia="zh-CN" w:bidi="ar-SA"/>
        </w:rPr>
        <w:t>加强</w:t>
      </w:r>
      <w:r>
        <w:rPr>
          <w:rFonts w:hint="eastAsia" w:ascii="仿宋_GB2312" w:hAnsi="宋体" w:eastAsia="仿宋_GB2312" w:cs="宋体"/>
          <w:color w:val="000000"/>
          <w:kern w:val="2"/>
          <w:sz w:val="32"/>
          <w:szCs w:val="32"/>
          <w:lang w:val="en-US" w:eastAsia="zh-CN" w:bidi="ar-SA"/>
        </w:rPr>
        <w:t>与产业园区管理部门</w:t>
      </w:r>
      <w:r>
        <w:rPr>
          <w:rFonts w:hint="eastAsia" w:ascii="仿宋_GB2312" w:eastAsia="仿宋_GB2312" w:cs="宋体"/>
          <w:color w:val="000000"/>
          <w:kern w:val="2"/>
          <w:sz w:val="32"/>
          <w:szCs w:val="32"/>
          <w:lang w:val="en-US" w:eastAsia="zh-CN" w:bidi="ar-SA"/>
        </w:rPr>
        <w:t>的</w:t>
      </w:r>
      <w:r>
        <w:rPr>
          <w:rFonts w:hint="eastAsia" w:ascii="仿宋_GB2312" w:hAnsi="宋体" w:eastAsia="仿宋_GB2312" w:cs="宋体"/>
          <w:color w:val="000000"/>
          <w:kern w:val="2"/>
          <w:sz w:val="32"/>
          <w:szCs w:val="32"/>
          <w:lang w:val="en-US" w:eastAsia="zh-CN" w:bidi="ar-SA"/>
        </w:rPr>
        <w:t>沟通</w:t>
      </w:r>
      <w:r>
        <w:rPr>
          <w:rFonts w:hint="eastAsia" w:ascii="仿宋_GB2312" w:eastAsia="仿宋_GB2312" w:cs="宋体"/>
          <w:color w:val="000000"/>
          <w:kern w:val="2"/>
          <w:sz w:val="32"/>
          <w:szCs w:val="32"/>
          <w:lang w:val="en-US" w:eastAsia="zh-CN" w:bidi="ar-SA"/>
        </w:rPr>
        <w:t>协调</w:t>
      </w:r>
      <w:r>
        <w:rPr>
          <w:rFonts w:hint="eastAsia" w:ascii="仿宋_GB2312" w:hAnsi="宋体" w:eastAsia="仿宋_GB2312" w:cs="宋体"/>
          <w:color w:val="000000"/>
          <w:kern w:val="2"/>
          <w:sz w:val="32"/>
          <w:szCs w:val="32"/>
          <w:lang w:val="en-US" w:eastAsia="zh-CN" w:bidi="ar-SA"/>
        </w:rPr>
        <w:t>，</w:t>
      </w:r>
      <w:r>
        <w:rPr>
          <w:rFonts w:hint="eastAsia" w:ascii="仿宋_GB2312" w:eastAsia="仿宋_GB2312" w:cs="宋体"/>
          <w:color w:val="000000"/>
          <w:kern w:val="2"/>
          <w:sz w:val="32"/>
          <w:szCs w:val="32"/>
          <w:lang w:val="en-US" w:eastAsia="zh-CN" w:bidi="ar-SA"/>
        </w:rPr>
        <w:t>组织产业园区管理机构，</w:t>
      </w:r>
      <w:r>
        <w:rPr>
          <w:rFonts w:hint="eastAsia" w:ascii="仿宋_GB2312" w:hAnsi="宋体" w:eastAsia="仿宋_GB2312" w:cs="宋体"/>
          <w:color w:val="000000"/>
          <w:kern w:val="2"/>
          <w:sz w:val="32"/>
          <w:szCs w:val="32"/>
          <w:lang w:val="en-US" w:eastAsia="zh-CN" w:bidi="ar-SA"/>
        </w:rPr>
        <w:t>梳理入驻产业园区建设项目，总结</w:t>
      </w:r>
      <w:r>
        <w:rPr>
          <w:rFonts w:hint="eastAsia" w:ascii="仿宋_GB2312" w:eastAsia="仿宋_GB2312" w:cs="宋体"/>
          <w:color w:val="000000"/>
          <w:kern w:val="2"/>
          <w:sz w:val="32"/>
          <w:szCs w:val="32"/>
          <w:lang w:val="en-US" w:eastAsia="zh-CN" w:bidi="ar-SA"/>
        </w:rPr>
        <w:t>改革</w:t>
      </w:r>
      <w:r>
        <w:rPr>
          <w:rFonts w:hint="eastAsia" w:ascii="仿宋_GB2312" w:hAnsi="宋体" w:eastAsia="仿宋_GB2312" w:cs="宋体"/>
          <w:color w:val="000000"/>
          <w:kern w:val="2"/>
          <w:sz w:val="32"/>
          <w:szCs w:val="32"/>
          <w:lang w:val="en-US" w:eastAsia="zh-CN" w:bidi="ar-SA"/>
        </w:rPr>
        <w:t>试点</w:t>
      </w:r>
      <w:r>
        <w:rPr>
          <w:rFonts w:hint="eastAsia" w:ascii="仿宋_GB2312" w:eastAsia="仿宋_GB2312" w:cs="宋体"/>
          <w:color w:val="000000"/>
          <w:kern w:val="2"/>
          <w:sz w:val="32"/>
          <w:szCs w:val="32"/>
          <w:lang w:val="en-US" w:eastAsia="zh-CN" w:bidi="ar-SA"/>
        </w:rPr>
        <w:t>情况，凝练</w:t>
      </w:r>
      <w:r>
        <w:rPr>
          <w:rFonts w:hint="eastAsia" w:ascii="仿宋_GB2312" w:hAnsi="宋体" w:eastAsia="仿宋_GB2312" w:cs="宋体"/>
          <w:color w:val="000000"/>
          <w:kern w:val="2"/>
          <w:sz w:val="32"/>
          <w:szCs w:val="32"/>
          <w:lang w:val="en-US" w:eastAsia="zh-CN" w:bidi="ar-SA"/>
        </w:rPr>
        <w:t>经验</w:t>
      </w:r>
      <w:r>
        <w:rPr>
          <w:rFonts w:hint="eastAsia" w:ascii="仿宋_GB2312" w:eastAsia="仿宋_GB2312" w:cs="宋体"/>
          <w:color w:val="000000"/>
          <w:kern w:val="2"/>
          <w:sz w:val="32"/>
          <w:szCs w:val="32"/>
          <w:lang w:val="en-US" w:eastAsia="zh-CN" w:bidi="ar-SA"/>
        </w:rPr>
        <w:t>做法和典型案例</w:t>
      </w:r>
      <w:r>
        <w:rPr>
          <w:rFonts w:hint="eastAsia" w:ascii="仿宋_GB2312" w:hAnsi="宋体" w:eastAsia="仿宋_GB2312" w:cs="宋体"/>
          <w:color w:val="000000"/>
          <w:kern w:val="2"/>
          <w:sz w:val="32"/>
          <w:szCs w:val="32"/>
          <w:lang w:val="en-US" w:eastAsia="zh-CN" w:bidi="ar-SA"/>
        </w:rPr>
        <w:t>，形成可复制可推广的经验</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探索改革新举措。</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本</w:t>
      </w:r>
      <w:r>
        <w:rPr>
          <w:rFonts w:hint="eastAsia" w:ascii="仿宋_GB2312" w:eastAsia="仿宋_GB2312" w:cs="宋体"/>
          <w:color w:val="000000"/>
          <w:kern w:val="2"/>
          <w:sz w:val="32"/>
          <w:szCs w:val="32"/>
          <w:lang w:val="en-US" w:eastAsia="zh-CN" w:bidi="ar-SA"/>
        </w:rPr>
        <w:t>《方案》</w:t>
      </w:r>
      <w:r>
        <w:rPr>
          <w:rFonts w:hint="eastAsia" w:ascii="仿宋_GB2312" w:hAnsi="宋体" w:eastAsia="仿宋_GB2312" w:cs="宋体"/>
          <w:color w:val="000000"/>
          <w:kern w:val="2"/>
          <w:sz w:val="32"/>
          <w:szCs w:val="32"/>
          <w:lang w:val="en-US" w:eastAsia="zh-CN" w:bidi="ar-SA"/>
        </w:rPr>
        <w:t>自2024年</w:t>
      </w:r>
      <w:r>
        <w:rPr>
          <w:rFonts w:hint="eastAsia" w:ascii="仿宋_GB2312" w:eastAsia="仿宋_GB2312" w:cs="宋体"/>
          <w:color w:val="000000"/>
          <w:kern w:val="2"/>
          <w:sz w:val="32"/>
          <w:szCs w:val="32"/>
          <w:lang w:val="en-US" w:eastAsia="zh-CN" w:bidi="ar-SA"/>
        </w:rPr>
        <w:t xml:space="preserve"> </w:t>
      </w:r>
      <w:r>
        <w:rPr>
          <w:rFonts w:hint="eastAsia" w:ascii="仿宋_GB2312" w:hAnsi="宋体" w:eastAsia="仿宋_GB2312" w:cs="宋体"/>
          <w:color w:val="000000"/>
          <w:kern w:val="2"/>
          <w:sz w:val="32"/>
          <w:szCs w:val="32"/>
          <w:lang w:val="en-US" w:eastAsia="zh-CN" w:bidi="ar-SA"/>
        </w:rPr>
        <w:t>月</w:t>
      </w:r>
      <w:r>
        <w:rPr>
          <w:rFonts w:hint="eastAsia" w:ascii="仿宋_GB2312" w:eastAsia="仿宋_GB2312" w:cs="宋体"/>
          <w:color w:val="000000"/>
          <w:kern w:val="2"/>
          <w:sz w:val="32"/>
          <w:szCs w:val="32"/>
          <w:lang w:val="en-US" w:eastAsia="zh-CN" w:bidi="ar-SA"/>
        </w:rPr>
        <w:t xml:space="preserve"> </w:t>
      </w:r>
      <w:r>
        <w:rPr>
          <w:rFonts w:hint="eastAsia" w:ascii="仿宋_GB2312" w:hAnsi="宋体" w:eastAsia="仿宋_GB2312" w:cs="宋体"/>
          <w:color w:val="000000"/>
          <w:kern w:val="2"/>
          <w:sz w:val="32"/>
          <w:szCs w:val="32"/>
          <w:lang w:val="en-US" w:eastAsia="zh-CN" w:bidi="ar-SA"/>
        </w:rPr>
        <w:t>日施行，有效期两年。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color w:val="000000"/>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7"/>
        <w:numPr>
          <w:ilvl w:val="0"/>
          <w:numId w:val="0"/>
        </w:numPr>
        <w:spacing w:before="0" w:beforeAutospacing="0" w:after="0" w:afterAutospacing="0" w:line="570" w:lineRule="atLeast"/>
        <w:ind w:left="360" w:leftChars="0"/>
        <w:rPr>
          <w:rStyle w:val="6"/>
          <w:rFonts w:hint="eastAsia" w:ascii="黑体" w:hAnsi="黑体" w:eastAsia="黑体" w:cs="黑体"/>
          <w:color w:val="404040"/>
          <w:sz w:val="32"/>
          <w:szCs w:val="32"/>
          <w:u w:val="none"/>
        </w:rPr>
      </w:pPr>
      <w:r>
        <w:rPr>
          <w:rFonts w:hint="eastAsia" w:ascii="黑体" w:hAnsi="黑体" w:eastAsia="黑体" w:cs="黑体"/>
          <w:sz w:val="32"/>
          <w:szCs w:val="32"/>
          <w:u w:val="none"/>
        </w:rPr>
        <w:fldChar w:fldCharType="begin"/>
      </w:r>
      <w:r>
        <w:rPr>
          <w:rFonts w:hint="eastAsia" w:ascii="黑体" w:hAnsi="黑体" w:eastAsia="黑体" w:cs="黑体"/>
          <w:sz w:val="32"/>
          <w:szCs w:val="32"/>
          <w:u w:val="none"/>
        </w:rPr>
        <w:instrText xml:space="preserve"> HYPERLINK "https://www.beijing.gov.cn/zhengce/zhengcefagui/202208/W020220829500027527751.doc" \t "_blank" </w:instrText>
      </w:r>
      <w:r>
        <w:rPr>
          <w:rFonts w:hint="eastAsia" w:ascii="黑体" w:hAnsi="黑体" w:eastAsia="黑体" w:cs="黑体"/>
          <w:sz w:val="32"/>
          <w:szCs w:val="32"/>
          <w:u w:val="none"/>
        </w:rPr>
        <w:fldChar w:fldCharType="separate"/>
      </w:r>
      <w:r>
        <w:rPr>
          <w:rStyle w:val="6"/>
          <w:rFonts w:hint="eastAsia" w:ascii="黑体" w:hAnsi="黑体" w:eastAsia="黑体" w:cs="黑体"/>
          <w:color w:val="404040"/>
          <w:sz w:val="32"/>
          <w:szCs w:val="32"/>
          <w:u w:val="none"/>
        </w:rPr>
        <w:t>附件1</w:t>
      </w:r>
    </w:p>
    <w:p>
      <w:pPr>
        <w:pStyle w:val="7"/>
        <w:numPr>
          <w:ilvl w:val="0"/>
          <w:numId w:val="0"/>
        </w:numPr>
        <w:spacing w:before="0" w:beforeAutospacing="0" w:after="0" w:afterAutospacing="0" w:line="570" w:lineRule="atLeast"/>
        <w:ind w:left="360" w:leftChars="0"/>
        <w:jc w:val="center"/>
        <w:rPr>
          <w:rFonts w:hint="eastAsia" w:ascii="仿宋" w:hAnsi="仿宋" w:eastAsia="仿宋" w:cs="宋体"/>
          <w:color w:val="333333"/>
          <w:kern w:val="0"/>
          <w:sz w:val="44"/>
          <w:szCs w:val="44"/>
        </w:rPr>
      </w:pPr>
      <w:r>
        <w:rPr>
          <w:rStyle w:val="6"/>
          <w:rFonts w:hint="eastAsia" w:ascii="黑体" w:hAnsi="黑体" w:eastAsia="黑体" w:cs="黑体"/>
          <w:color w:val="404040"/>
          <w:sz w:val="32"/>
          <w:szCs w:val="32"/>
          <w:u w:val="none"/>
        </w:rPr>
        <w:fldChar w:fldCharType="end"/>
      </w:r>
      <w:r>
        <w:rPr>
          <w:rFonts w:hint="eastAsia" w:ascii="方正小标宋简体" w:hAnsi="方正小标宋简体" w:eastAsia="方正小标宋简体" w:cs="方正小标宋简体"/>
          <w:color w:val="333333"/>
          <w:kern w:val="0"/>
          <w:sz w:val="44"/>
          <w:szCs w:val="44"/>
        </w:rPr>
        <w:t>产业园区优化环评分类管理类别清单</w:t>
      </w:r>
    </w:p>
    <w:tbl>
      <w:tblPr>
        <w:tblStyle w:val="3"/>
        <w:tblW w:w="8685" w:type="dxa"/>
        <w:jc w:val="center"/>
        <w:tblLayout w:type="autofit"/>
        <w:tblCellMar>
          <w:top w:w="15" w:type="dxa"/>
          <w:left w:w="15" w:type="dxa"/>
          <w:bottom w:w="15" w:type="dxa"/>
          <w:right w:w="15" w:type="dxa"/>
        </w:tblCellMar>
      </w:tblPr>
      <w:tblGrid>
        <w:gridCol w:w="842"/>
        <w:gridCol w:w="2333"/>
        <w:gridCol w:w="2469"/>
        <w:gridCol w:w="3041"/>
      </w:tblGrid>
      <w:tr>
        <w:tblPrEx>
          <w:tblCellMar>
            <w:top w:w="15" w:type="dxa"/>
            <w:left w:w="15" w:type="dxa"/>
            <w:bottom w:w="15" w:type="dxa"/>
            <w:right w:w="15" w:type="dxa"/>
          </w:tblCellMar>
        </w:tblPrEx>
        <w:trPr>
          <w:jc w:val="center"/>
        </w:trPr>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Times New Roman" w:hAnsi="Times New Roman" w:eastAsia="宋体" w:cs="Times New Roman"/>
                <w:kern w:val="0"/>
                <w:sz w:val="20"/>
                <w:szCs w:val="20"/>
              </w:rPr>
            </w:pPr>
            <w:r>
              <w:rPr>
                <w:rFonts w:ascii="Times New Roman" w:hAnsi="Times New Roman" w:eastAsia="宋体" w:cs="Times New Roman"/>
                <w:kern w:val="0"/>
                <w:sz w:val="24"/>
                <w:szCs w:val="24"/>
              </w:rPr>
              <w:t>序号</w:t>
            </w:r>
          </w:p>
        </w:tc>
        <w:tc>
          <w:tcPr>
            <w:tcW w:w="2333"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4"/>
                <w:szCs w:val="24"/>
              </w:rPr>
              <w:t>《分类名录》</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4"/>
                <w:szCs w:val="24"/>
              </w:rPr>
              <w:t>大类</w:t>
            </w:r>
          </w:p>
        </w:tc>
        <w:tc>
          <w:tcPr>
            <w:tcW w:w="246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4"/>
                <w:szCs w:val="24"/>
              </w:rPr>
              <w:t>《分类名录》小类</w:t>
            </w:r>
          </w:p>
        </w:tc>
        <w:tc>
          <w:tcPr>
            <w:tcW w:w="304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4"/>
                <w:szCs w:val="24"/>
              </w:rPr>
              <w:t>由报告书调整为报告表</w:t>
            </w:r>
          </w:p>
        </w:tc>
      </w:tr>
      <w:tr>
        <w:tblPrEx>
          <w:tblCellMar>
            <w:top w:w="15" w:type="dxa"/>
            <w:left w:w="15" w:type="dxa"/>
            <w:bottom w:w="15" w:type="dxa"/>
            <w:right w:w="15" w:type="dxa"/>
          </w:tblCellMar>
        </w:tblPrEx>
        <w:trPr>
          <w:jc w:val="center"/>
        </w:trPr>
        <w:tc>
          <w:tcPr>
            <w:tcW w:w="84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1</w:t>
            </w:r>
          </w:p>
        </w:tc>
        <w:tc>
          <w:tcPr>
            <w:tcW w:w="23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农副食品加工业13</w:t>
            </w:r>
          </w:p>
        </w:tc>
        <w:tc>
          <w:tcPr>
            <w:tcW w:w="24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其他农副食品加工 139</w:t>
            </w:r>
          </w:p>
        </w:tc>
        <w:tc>
          <w:tcPr>
            <w:tcW w:w="30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含发酵工艺的淀粉、淀粉糖制造</w:t>
            </w:r>
          </w:p>
        </w:tc>
      </w:tr>
      <w:tr>
        <w:tblPrEx>
          <w:tblCellMar>
            <w:top w:w="15" w:type="dxa"/>
            <w:left w:w="15" w:type="dxa"/>
            <w:bottom w:w="15" w:type="dxa"/>
            <w:right w:w="15" w:type="dxa"/>
          </w:tblCellMar>
        </w:tblPrEx>
        <w:trPr>
          <w:jc w:val="center"/>
        </w:trPr>
        <w:tc>
          <w:tcPr>
            <w:tcW w:w="84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2</w:t>
            </w:r>
          </w:p>
        </w:tc>
        <w:tc>
          <w:tcPr>
            <w:tcW w:w="23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食品制造业 14</w:t>
            </w:r>
          </w:p>
        </w:tc>
        <w:tc>
          <w:tcPr>
            <w:tcW w:w="24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其他食品制造 149</w:t>
            </w:r>
          </w:p>
        </w:tc>
        <w:tc>
          <w:tcPr>
            <w:tcW w:w="30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有发酵工艺的食品添加剂制造；有发酵工艺的饲料添加剂制造</w:t>
            </w:r>
          </w:p>
        </w:tc>
      </w:tr>
      <w:tr>
        <w:trPr>
          <w:jc w:val="center"/>
        </w:trPr>
        <w:tc>
          <w:tcPr>
            <w:tcW w:w="84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3</w:t>
            </w:r>
          </w:p>
        </w:tc>
        <w:tc>
          <w:tcPr>
            <w:tcW w:w="23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木材加工和木、竹、藤、棕、草制品业 20</w:t>
            </w:r>
          </w:p>
        </w:tc>
        <w:tc>
          <w:tcPr>
            <w:tcW w:w="24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人造板制造 202</w:t>
            </w:r>
          </w:p>
        </w:tc>
        <w:tc>
          <w:tcPr>
            <w:tcW w:w="30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年产20万立方米及以上的</w:t>
            </w:r>
          </w:p>
        </w:tc>
      </w:tr>
      <w:tr>
        <w:tblPrEx>
          <w:tblCellMar>
            <w:top w:w="15" w:type="dxa"/>
            <w:left w:w="15" w:type="dxa"/>
            <w:bottom w:w="15" w:type="dxa"/>
            <w:right w:w="15" w:type="dxa"/>
          </w:tblCellMar>
        </w:tblPrEx>
        <w:trPr>
          <w:jc w:val="center"/>
        </w:trPr>
        <w:tc>
          <w:tcPr>
            <w:tcW w:w="84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4</w:t>
            </w:r>
          </w:p>
        </w:tc>
        <w:tc>
          <w:tcPr>
            <w:tcW w:w="23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黑色金属冶炼和压延加工业 31</w:t>
            </w:r>
          </w:p>
        </w:tc>
        <w:tc>
          <w:tcPr>
            <w:tcW w:w="24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钢压延加工 313</w:t>
            </w:r>
          </w:p>
        </w:tc>
        <w:tc>
          <w:tcPr>
            <w:tcW w:w="30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年产50万吨及以上的冷轧</w:t>
            </w:r>
          </w:p>
        </w:tc>
      </w:tr>
      <w:tr>
        <w:tblPrEx>
          <w:tblCellMar>
            <w:top w:w="15" w:type="dxa"/>
            <w:left w:w="15" w:type="dxa"/>
            <w:bottom w:w="15" w:type="dxa"/>
            <w:right w:w="15" w:type="dxa"/>
          </w:tblCellMar>
        </w:tblPrEx>
        <w:trPr>
          <w:jc w:val="center"/>
        </w:trPr>
        <w:tc>
          <w:tcPr>
            <w:tcW w:w="842"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5</w:t>
            </w:r>
          </w:p>
        </w:tc>
        <w:tc>
          <w:tcPr>
            <w:tcW w:w="2333"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金属制品业 33</w:t>
            </w:r>
          </w:p>
        </w:tc>
        <w:tc>
          <w:tcPr>
            <w:tcW w:w="24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金属表面处理及热处理加工</w:t>
            </w:r>
          </w:p>
        </w:tc>
        <w:tc>
          <w:tcPr>
            <w:tcW w:w="30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专业电镀园区（集中加工区）内表面处理项目（电镀，化学镀，阳极氧化，有钝化工艺的热镀锌）</w:t>
            </w:r>
          </w:p>
        </w:tc>
      </w:tr>
      <w:tr>
        <w:tblPrEx>
          <w:tblCellMar>
            <w:top w:w="15" w:type="dxa"/>
            <w:left w:w="15" w:type="dxa"/>
            <w:bottom w:w="15" w:type="dxa"/>
            <w:right w:w="15" w:type="dxa"/>
          </w:tblCellMar>
        </w:tblPrEx>
        <w:trPr>
          <w:jc w:val="center"/>
        </w:trPr>
        <w:tc>
          <w:tcPr>
            <w:tcW w:w="842" w:type="dxa"/>
            <w:vMerge w:val="continue"/>
            <w:tcBorders>
              <w:top w:val="nil"/>
              <w:left w:val="single" w:color="000000" w:sz="6" w:space="0"/>
              <w:bottom w:val="single" w:color="000000" w:sz="6" w:space="0"/>
              <w:right w:val="single" w:color="000000" w:sz="6" w:space="0"/>
            </w:tcBorders>
            <w:vAlign w:val="center"/>
          </w:tcPr>
          <w:p>
            <w:pPr>
              <w:widowControl/>
              <w:jc w:val="center"/>
              <w:rPr>
                <w:rFonts w:hint="eastAsia" w:ascii="仿宋" w:hAnsi="仿宋" w:eastAsia="仿宋" w:cs="Times New Roman"/>
                <w:kern w:val="0"/>
                <w:sz w:val="24"/>
                <w:szCs w:val="24"/>
                <w:lang w:eastAsia="zh-CN"/>
              </w:rPr>
            </w:pPr>
          </w:p>
        </w:tc>
        <w:tc>
          <w:tcPr>
            <w:tcW w:w="2333" w:type="dxa"/>
            <w:vMerge w:val="continue"/>
            <w:tcBorders>
              <w:top w:val="nil"/>
              <w:left w:val="nil"/>
              <w:bottom w:val="single" w:color="000000" w:sz="6" w:space="0"/>
              <w:right w:val="single" w:color="000000" w:sz="6" w:space="0"/>
            </w:tcBorders>
            <w:vAlign w:val="center"/>
          </w:tcPr>
          <w:p>
            <w:pPr>
              <w:widowControl/>
              <w:jc w:val="center"/>
              <w:rPr>
                <w:rFonts w:hint="eastAsia" w:ascii="仿宋" w:hAnsi="仿宋" w:eastAsia="仿宋" w:cs="Times New Roman"/>
                <w:kern w:val="0"/>
                <w:sz w:val="24"/>
                <w:szCs w:val="24"/>
                <w:lang w:eastAsia="zh-CN"/>
              </w:rPr>
            </w:pPr>
          </w:p>
        </w:tc>
        <w:tc>
          <w:tcPr>
            <w:tcW w:w="24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铸造及其他金属制品制造 339</w:t>
            </w:r>
          </w:p>
        </w:tc>
        <w:tc>
          <w:tcPr>
            <w:tcW w:w="30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黑色金属铸造年产10万吨及以上的；有色金属铸造年产10万吨及以上的</w:t>
            </w:r>
          </w:p>
        </w:tc>
      </w:tr>
      <w:tr>
        <w:tblPrEx>
          <w:tblCellMar>
            <w:top w:w="15" w:type="dxa"/>
            <w:left w:w="15" w:type="dxa"/>
            <w:bottom w:w="15" w:type="dxa"/>
            <w:right w:w="15" w:type="dxa"/>
          </w:tblCellMar>
        </w:tblPrEx>
        <w:trPr>
          <w:jc w:val="center"/>
        </w:trPr>
        <w:tc>
          <w:tcPr>
            <w:tcW w:w="84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6</w:t>
            </w:r>
          </w:p>
        </w:tc>
        <w:tc>
          <w:tcPr>
            <w:tcW w:w="233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汽车制造业 36</w:t>
            </w:r>
          </w:p>
        </w:tc>
        <w:tc>
          <w:tcPr>
            <w:tcW w:w="246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汽车整车制造 361</w:t>
            </w:r>
          </w:p>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汽车用发动机制造 362</w:t>
            </w:r>
          </w:p>
        </w:tc>
        <w:tc>
          <w:tcPr>
            <w:tcW w:w="304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汽车整车制造；汽车用发动机制造</w:t>
            </w:r>
          </w:p>
        </w:tc>
      </w:tr>
      <w:tr>
        <w:tblPrEx>
          <w:tblCellMar>
            <w:top w:w="15" w:type="dxa"/>
            <w:left w:w="15" w:type="dxa"/>
            <w:bottom w:w="15" w:type="dxa"/>
            <w:right w:w="15" w:type="dxa"/>
          </w:tblCellMar>
        </w:tblPrEx>
        <w:trPr>
          <w:jc w:val="center"/>
        </w:trPr>
        <w:tc>
          <w:tcPr>
            <w:tcW w:w="842" w:type="dxa"/>
            <w:tcBorders>
              <w:top w:val="nil"/>
              <w:left w:val="single" w:color="000000" w:sz="6" w:space="0"/>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7</w:t>
            </w:r>
          </w:p>
        </w:tc>
        <w:tc>
          <w:tcPr>
            <w:tcW w:w="2333" w:type="dxa"/>
            <w:tcBorders>
              <w:top w:val="nil"/>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铁路、船舶、航空航天和其他运输设备制造业 37</w:t>
            </w:r>
          </w:p>
        </w:tc>
        <w:tc>
          <w:tcPr>
            <w:tcW w:w="2469" w:type="dxa"/>
            <w:tcBorders>
              <w:top w:val="nil"/>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摩托车制造 375</w:t>
            </w:r>
          </w:p>
        </w:tc>
        <w:tc>
          <w:tcPr>
            <w:tcW w:w="3041" w:type="dxa"/>
            <w:tcBorders>
              <w:top w:val="nil"/>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摩托车整车制造；发动机制造</w:t>
            </w:r>
          </w:p>
        </w:tc>
      </w:tr>
      <w:tr>
        <w:tblPrEx>
          <w:tblCellMar>
            <w:top w:w="15" w:type="dxa"/>
            <w:left w:w="15" w:type="dxa"/>
            <w:bottom w:w="15" w:type="dxa"/>
            <w:right w:w="15" w:type="dxa"/>
          </w:tblCellMar>
        </w:tblPrEx>
        <w:trPr>
          <w:jc w:val="center"/>
        </w:trPr>
        <w:tc>
          <w:tcPr>
            <w:tcW w:w="842" w:type="dxa"/>
            <w:tcBorders>
              <w:top w:val="single" w:color="auto" w:sz="4" w:space="0"/>
              <w:left w:val="single" w:color="auto" w:sz="4" w:space="0"/>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8</w:t>
            </w:r>
          </w:p>
        </w:tc>
        <w:tc>
          <w:tcPr>
            <w:tcW w:w="2333" w:type="dxa"/>
            <w:tcBorders>
              <w:top w:val="single" w:color="auto" w:sz="4"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水的生产和供应业</w:t>
            </w:r>
          </w:p>
        </w:tc>
        <w:tc>
          <w:tcPr>
            <w:tcW w:w="2469" w:type="dxa"/>
            <w:tcBorders>
              <w:top w:val="single" w:color="auto" w:sz="4"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污水处理及其再生</w:t>
            </w:r>
          </w:p>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利用</w:t>
            </w:r>
          </w:p>
        </w:tc>
        <w:tc>
          <w:tcPr>
            <w:tcW w:w="3041"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val="en-US" w:eastAsia="zh-CN"/>
              </w:rPr>
              <w:t>扩建</w:t>
            </w:r>
            <w:r>
              <w:rPr>
                <w:rFonts w:hint="eastAsia" w:ascii="仿宋" w:hAnsi="仿宋" w:eastAsia="仿宋" w:cs="Times New Roman"/>
                <w:kern w:val="0"/>
                <w:sz w:val="24"/>
                <w:szCs w:val="24"/>
                <w:lang w:eastAsia="zh-CN"/>
              </w:rPr>
              <w:t>工业废水集中处理的</w:t>
            </w:r>
          </w:p>
        </w:tc>
      </w:tr>
      <w:tr>
        <w:tblPrEx>
          <w:tblCellMar>
            <w:top w:w="15" w:type="dxa"/>
            <w:left w:w="15" w:type="dxa"/>
            <w:bottom w:w="15" w:type="dxa"/>
            <w:right w:w="15" w:type="dxa"/>
          </w:tblCellMar>
        </w:tblPrEx>
        <w:trPr>
          <w:jc w:val="center"/>
        </w:trPr>
        <w:tc>
          <w:tcPr>
            <w:tcW w:w="842" w:type="dxa"/>
            <w:tcBorders>
              <w:top w:val="single" w:color="auto" w:sz="4" w:space="0"/>
              <w:left w:val="single" w:color="auto" w:sz="4" w:space="0"/>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9</w:t>
            </w:r>
          </w:p>
        </w:tc>
        <w:tc>
          <w:tcPr>
            <w:tcW w:w="2333" w:type="dxa"/>
            <w:tcBorders>
              <w:top w:val="single" w:color="auto" w:sz="4"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交通运输业、管道运输业</w:t>
            </w:r>
          </w:p>
        </w:tc>
        <w:tc>
          <w:tcPr>
            <w:tcW w:w="2469" w:type="dxa"/>
            <w:tcBorders>
              <w:top w:val="single" w:color="auto" w:sz="4"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eastAsia="zh-CN"/>
              </w:rPr>
              <w:t>新建、增建铁路</w:t>
            </w:r>
          </w:p>
        </w:tc>
        <w:tc>
          <w:tcPr>
            <w:tcW w:w="3041"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30公里以上铁路联络线及铁路专用线</w:t>
            </w:r>
          </w:p>
        </w:tc>
      </w:tr>
    </w:tbl>
    <w:p>
      <w:pPr>
        <w:pStyle w:val="7"/>
        <w:numPr>
          <w:ilvl w:val="0"/>
          <w:numId w:val="0"/>
        </w:numPr>
        <w:spacing w:before="0" w:beforeAutospacing="0" w:after="0" w:afterAutospacing="0" w:line="570" w:lineRule="atLeast"/>
        <w:ind w:left="360" w:leftChars="0"/>
        <w:rPr>
          <w:rStyle w:val="6"/>
          <w:rFonts w:hint="eastAsia" w:ascii="微软雅黑" w:hAnsi="微软雅黑" w:eastAsia="微软雅黑"/>
          <w:color w:val="404040"/>
        </w:rPr>
      </w:pPr>
    </w:p>
    <w:p>
      <w:pPr>
        <w:pStyle w:val="7"/>
        <w:numPr>
          <w:ilvl w:val="0"/>
          <w:numId w:val="0"/>
        </w:numPr>
        <w:spacing w:before="0" w:beforeAutospacing="0" w:after="0" w:afterAutospacing="0" w:line="570" w:lineRule="atLeast"/>
        <w:ind w:left="360" w:leftChars="0"/>
        <w:sectPr>
          <w:pgSz w:w="11906" w:h="16838"/>
          <w:pgMar w:top="1440" w:right="1800" w:bottom="1440" w:left="1800" w:header="851" w:footer="992" w:gutter="0"/>
          <w:cols w:space="425" w:num="1"/>
          <w:docGrid w:type="lines" w:linePitch="312" w:charSpace="0"/>
        </w:sect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rPr>
          <w:rFonts w:hint="eastAsia" w:ascii="黑体" w:hAnsi="黑体" w:eastAsia="黑体"/>
          <w:sz w:val="32"/>
          <w:szCs w:val="32"/>
        </w:rPr>
      </w:pPr>
    </w:p>
    <w:p>
      <w:pPr>
        <w:spacing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关于XX产业园申请纳入规划环境影响评价与建设项目环境影响评价联动试点的请示</w:t>
      </w:r>
    </w:p>
    <w:p>
      <w:pPr>
        <w:spacing w:line="560" w:lineRule="exact"/>
        <w:jc w:val="center"/>
        <w:rPr>
          <w:rFonts w:hint="eastAsia" w:ascii="Calibri" w:hAnsi="Calibri"/>
          <w:sz w:val="36"/>
          <w:szCs w:val="36"/>
        </w:rPr>
      </w:pPr>
    </w:p>
    <w:p>
      <w:pPr>
        <w:spacing w:line="560" w:lineRule="exact"/>
        <w:rPr>
          <w:rFonts w:ascii="仿宋_GB2312" w:eastAsia="仿宋_GB2312"/>
          <w:sz w:val="32"/>
          <w:szCs w:val="32"/>
        </w:rPr>
      </w:pPr>
      <w:r>
        <w:rPr>
          <w:rFonts w:hint="eastAsia" w:ascii="仿宋_GB2312" w:eastAsia="仿宋_GB2312"/>
          <w:sz w:val="32"/>
          <w:szCs w:val="32"/>
          <w:lang w:eastAsia="zh-CN"/>
        </w:rPr>
        <w:t>自治区生态环境厅</w:t>
      </w:r>
      <w:r>
        <w:rPr>
          <w:rFonts w:hint="eastAsia" w:ascii="仿宋_GB2312" w:eastAsia="仿宋_GB2312"/>
          <w:sz w:val="32"/>
          <w:szCs w:val="32"/>
        </w:rPr>
        <w:t>:</w:t>
      </w:r>
    </w:p>
    <w:p>
      <w:pPr>
        <w:spacing w:line="560" w:lineRule="exact"/>
        <w:rPr>
          <w:rFonts w:hint="eastAsia" w:ascii="仿宋_GB2312" w:eastAsia="仿宋_GB2312"/>
          <w:sz w:val="32"/>
          <w:szCs w:val="32"/>
        </w:rPr>
      </w:pPr>
      <w:r>
        <w:rPr>
          <w:rFonts w:hint="eastAsia" w:ascii="仿宋_GB2312" w:eastAsia="仿宋_GB2312"/>
          <w:sz w:val="32"/>
          <w:szCs w:val="32"/>
        </w:rPr>
        <w:t xml:space="preserve">    XX产业园已依法完成规划环境影响评价，满足</w:t>
      </w:r>
      <w:bookmarkStart w:id="0" w:name="_Hlk97211958"/>
      <w:r>
        <w:rPr>
          <w:rFonts w:hint="eastAsia" w:ascii="仿宋_GB2312" w:eastAsia="仿宋_GB2312"/>
          <w:sz w:val="32"/>
          <w:szCs w:val="32"/>
        </w:rPr>
        <w:t>《产业园区规划环境影响评价与建设项目环境影响评价联动试点实施办法》</w:t>
      </w:r>
      <w:bookmarkEnd w:id="0"/>
      <w:r>
        <w:rPr>
          <w:rFonts w:hint="eastAsia" w:ascii="仿宋_GB2312" w:eastAsia="仿宋_GB2312"/>
          <w:sz w:val="32"/>
          <w:szCs w:val="32"/>
        </w:rPr>
        <w:t>（以下简称《实施办法》）相关要求（见对照清单），申请对符合《实施办法》的入园建设项目实施联动，园区负责入驻建设项目联动要求的符合性审查，指导园区内企业落实联动措施，确保满足《实施办法》要求。</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妥否，请批示</w:t>
      </w:r>
      <w:r>
        <w:rPr>
          <w:rFonts w:hint="eastAsia" w:ascii="仿宋_GB2312" w:eastAsia="仿宋_GB2312"/>
          <w:sz w:val="32"/>
          <w:szCs w:val="32"/>
        </w:rPr>
        <w:t>。</w:t>
      </w:r>
    </w:p>
    <w:p>
      <w:pPr>
        <w:spacing w:line="560" w:lineRule="exact"/>
        <w:rPr>
          <w:rFonts w:hint="eastAsia" w:ascii="Calibri"/>
          <w:sz w:val="36"/>
          <w:szCs w:val="36"/>
        </w:rPr>
      </w:pPr>
    </w:p>
    <w:p>
      <w:pPr>
        <w:spacing w:line="560" w:lineRule="exact"/>
        <w:rPr>
          <w:sz w:val="32"/>
          <w:szCs w:val="32"/>
        </w:rPr>
      </w:pPr>
    </w:p>
    <w:p>
      <w:pPr>
        <w:spacing w:line="560" w:lineRule="exact"/>
        <w:rPr>
          <w:sz w:val="32"/>
          <w:szCs w:val="32"/>
        </w:rPr>
      </w:pP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lang w:val="en-US" w:eastAsia="zh-CN"/>
        </w:rPr>
        <w:t>XXX</w:t>
      </w:r>
      <w:r>
        <w:rPr>
          <w:rFonts w:hint="eastAsia" w:ascii="仿宋_GB2312" w:eastAsia="仿宋_GB2312"/>
          <w:sz w:val="32"/>
          <w:szCs w:val="32"/>
        </w:rPr>
        <w:t>生态环境</w:t>
      </w:r>
      <w:r>
        <w:rPr>
          <w:rFonts w:hint="eastAsia" w:ascii="仿宋_GB2312" w:eastAsia="仿宋_GB2312"/>
          <w:sz w:val="32"/>
          <w:szCs w:val="32"/>
          <w:lang w:eastAsia="zh-CN"/>
        </w:rPr>
        <w:t>局</w:t>
      </w:r>
      <w:r>
        <w:rPr>
          <w:rFonts w:hint="eastAsia" w:ascii="仿宋_GB2312" w:eastAsia="仿宋_GB2312"/>
          <w:sz w:val="32"/>
          <w:szCs w:val="32"/>
        </w:rPr>
        <w:t>（盖章）</w:t>
      </w:r>
      <w:r>
        <w:rPr>
          <w:rFonts w:hint="eastAsia" w:ascii="仿宋_GB2312" w:eastAsia="仿宋_GB2312"/>
          <w:sz w:val="32"/>
          <w:szCs w:val="32"/>
          <w:lang w:val="en-US" w:eastAsia="zh-CN"/>
        </w:rPr>
        <w:t xml:space="preserve">     </w:t>
      </w:r>
      <w:r>
        <w:rPr>
          <w:rFonts w:hint="eastAsia" w:ascii="仿宋_GB2312" w:hAnsi="黑体" w:eastAsia="仿宋_GB2312"/>
          <w:sz w:val="32"/>
          <w:szCs w:val="32"/>
          <w:lang w:val="en-US" w:eastAsia="zh-CN"/>
        </w:rPr>
        <w:t>XXX</w:t>
      </w:r>
      <w:r>
        <w:rPr>
          <w:rFonts w:hint="eastAsia" w:ascii="仿宋_GB2312" w:eastAsia="仿宋_GB2312"/>
          <w:sz w:val="32"/>
          <w:szCs w:val="32"/>
        </w:rPr>
        <w:t>园区管委会（盖章）</w:t>
      </w:r>
    </w:p>
    <w:p>
      <w:pPr>
        <w:spacing w:line="560" w:lineRule="exact"/>
        <w:rPr>
          <w:rFonts w:hint="eastAsia" w:ascii="仿宋_GB2312" w:hAnsi="黑体"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XXXX年 X 月 X 日</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联系人：XXX；联系电话：XXX</w:t>
      </w:r>
      <w:r>
        <w:rPr>
          <w:rFonts w:hint="eastAsia" w:ascii="仿宋_GB2312" w:hAnsi="黑体" w:eastAsia="仿宋_GB2312"/>
          <w:sz w:val="32"/>
          <w:szCs w:val="32"/>
          <w:lang w:eastAsia="zh-CN"/>
        </w:rPr>
        <w:t>）</w:t>
      </w:r>
    </w:p>
    <w:p>
      <w:pPr>
        <w:jc w:val="center"/>
        <w:rPr>
          <w:rFonts w:hint="eastAsia" w:ascii="方正小标宋简体" w:hAnsi="宋体" w:eastAsia="方正小标宋简体"/>
          <w:bCs/>
          <w:sz w:val="44"/>
          <w:szCs w:val="44"/>
        </w:rPr>
      </w:pPr>
      <w:r>
        <w:rPr>
          <w:rFonts w:hint="eastAsia" w:ascii="仿宋_GB2312" w:hAnsi="黑体" w:eastAsia="仿宋_GB2312"/>
          <w:kern w:val="0"/>
          <w:sz w:val="32"/>
          <w:szCs w:val="32"/>
        </w:rPr>
        <w:br w:type="page"/>
      </w:r>
      <w:r>
        <w:rPr>
          <w:rFonts w:hint="eastAsia" w:ascii="方正小标宋简体" w:hAnsi="宋体" w:eastAsia="方正小标宋简体"/>
          <w:bCs/>
          <w:sz w:val="44"/>
          <w:szCs w:val="44"/>
        </w:rPr>
        <w:t>产业园区联动条件对照清单</w:t>
      </w:r>
    </w:p>
    <w:tbl>
      <w:tblPr>
        <w:tblStyle w:val="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5695"/>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32"/>
                <w:szCs w:val="32"/>
              </w:rPr>
            </w:pPr>
            <w:r>
              <w:rPr>
                <w:rFonts w:hint="eastAsia" w:ascii="黑体" w:hAnsi="黑体" w:eastAsia="黑体"/>
                <w:sz w:val="32"/>
                <w:szCs w:val="32"/>
              </w:rPr>
              <w:t>序号</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32"/>
                <w:szCs w:val="32"/>
              </w:rPr>
            </w:pPr>
            <w:r>
              <w:rPr>
                <w:rFonts w:hint="eastAsia" w:ascii="黑体" w:hAnsi="黑体" w:eastAsia="黑体"/>
                <w:sz w:val="32"/>
                <w:szCs w:val="32"/>
              </w:rPr>
              <w:t>产业园区联动条件</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32"/>
                <w:szCs w:val="32"/>
              </w:rPr>
            </w:pPr>
            <w:r>
              <w:rPr>
                <w:rFonts w:hint="eastAsia" w:ascii="黑体" w:hAnsi="黑体" w:eastAsia="黑体"/>
                <w:sz w:val="32"/>
                <w:szCs w:val="32"/>
              </w:rPr>
              <w:t>满足条件说明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hint="eastAsia" w:ascii="仿宋_GB2312" w:hAnsi="黑体" w:eastAsia="仿宋_GB2312"/>
                <w:bCs/>
                <w:color w:val="000000"/>
                <w:sz w:val="32"/>
                <w:szCs w:val="32"/>
              </w:rPr>
            </w:pPr>
            <w:r>
              <w:rPr>
                <w:rFonts w:hint="eastAsia" w:ascii="仿宋_GB2312" w:hAnsi="黑体" w:eastAsia="仿宋_GB2312"/>
                <w:bCs/>
                <w:color w:val="000000"/>
                <w:sz w:val="32"/>
                <w:szCs w:val="32"/>
                <w:lang w:eastAsia="zh-CN"/>
              </w:rPr>
              <w:t>属自治区级及以上产业园区</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hAnsi="Calibri"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Calibri" w:eastAsia="仿宋_GB2312"/>
                <w:sz w:val="32"/>
                <w:szCs w:val="32"/>
                <w:lang w:eastAsia="zh-CN"/>
              </w:rPr>
            </w:pPr>
            <w:r>
              <w:rPr>
                <w:rFonts w:hint="eastAsia" w:ascii="仿宋_GB2312" w:eastAsia="仿宋_GB2312"/>
                <w:sz w:val="32"/>
                <w:szCs w:val="32"/>
                <w:lang w:val="en-US" w:eastAsia="zh-CN"/>
              </w:rPr>
              <w:t>2</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rPr>
                <w:rFonts w:ascii="仿宋_GB2312" w:hAnsi="Calibri" w:eastAsia="仿宋_GB2312"/>
                <w:bCs/>
                <w:color w:val="000000"/>
                <w:sz w:val="32"/>
                <w:szCs w:val="32"/>
              </w:rPr>
            </w:pPr>
            <w:r>
              <w:rPr>
                <w:rFonts w:hint="eastAsia" w:ascii="仿宋_GB2312" w:hAnsi="黑体" w:eastAsia="仿宋_GB2312"/>
                <w:bCs/>
                <w:color w:val="000000"/>
                <w:sz w:val="32"/>
                <w:szCs w:val="32"/>
              </w:rPr>
              <w:t>已依法完成规划</w:t>
            </w:r>
            <w:r>
              <w:rPr>
                <w:rFonts w:hint="eastAsia" w:ascii="仿宋_GB2312" w:hAnsi="黑体" w:eastAsia="仿宋_GB2312"/>
                <w:bCs/>
                <w:color w:val="000000"/>
                <w:sz w:val="32"/>
                <w:szCs w:val="32"/>
                <w:lang w:eastAsia="zh-CN"/>
              </w:rPr>
              <w:t>审批</w:t>
            </w:r>
            <w:r>
              <w:rPr>
                <w:rFonts w:hint="eastAsia" w:ascii="仿宋_GB2312" w:hAnsi="黑体" w:eastAsia="仿宋_GB2312"/>
                <w:bCs/>
                <w:color w:val="000000"/>
                <w:sz w:val="32"/>
                <w:szCs w:val="32"/>
              </w:rPr>
              <w:t>工作，且采纳落实了规划环评结论及审查意见</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hAnsi="Calibri"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Calibri" w:eastAsia="仿宋_GB2312"/>
                <w:sz w:val="32"/>
                <w:szCs w:val="32"/>
                <w:lang w:eastAsia="zh-CN"/>
              </w:rPr>
            </w:pPr>
            <w:r>
              <w:rPr>
                <w:rFonts w:hint="eastAsia" w:ascii="仿宋_GB2312" w:eastAsia="仿宋_GB2312"/>
                <w:sz w:val="32"/>
                <w:szCs w:val="32"/>
                <w:lang w:val="en-US" w:eastAsia="zh-CN"/>
              </w:rPr>
              <w:t>3</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仿宋_GB2312" w:hAnsi="Calibri" w:eastAsia="仿宋_GB2312"/>
                <w:color w:val="000000"/>
                <w:sz w:val="32"/>
                <w:szCs w:val="32"/>
              </w:rPr>
            </w:pPr>
            <w:r>
              <w:rPr>
                <w:rFonts w:hint="eastAsia" w:ascii="仿宋_GB2312" w:eastAsia="仿宋_GB2312" w:cs="宋体"/>
                <w:color w:val="000000"/>
                <w:kern w:val="0"/>
                <w:sz w:val="32"/>
                <w:szCs w:val="32"/>
              </w:rPr>
              <w:t>产业园区环境质量符合国家及本市上一年度相关考核要求，未被生态环境主管部门列入区域限批范围</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hAnsi="Calibri"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Calibri" w:eastAsia="仿宋_GB2312"/>
                <w:sz w:val="32"/>
                <w:szCs w:val="32"/>
                <w:lang w:eastAsia="zh-CN"/>
              </w:rPr>
            </w:pPr>
            <w:r>
              <w:rPr>
                <w:rFonts w:hint="eastAsia" w:ascii="仿宋_GB2312" w:eastAsia="仿宋_GB2312"/>
                <w:sz w:val="32"/>
                <w:szCs w:val="32"/>
                <w:lang w:val="en-US" w:eastAsia="zh-CN"/>
              </w:rPr>
              <w:t>4</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仿宋_GB2312" w:hAnsi="Calibri" w:eastAsia="仿宋_GB2312"/>
                <w:color w:val="000000"/>
                <w:sz w:val="32"/>
                <w:szCs w:val="32"/>
              </w:rPr>
            </w:pPr>
            <w:r>
              <w:rPr>
                <w:rFonts w:hint="eastAsia" w:ascii="仿宋_GB2312" w:eastAsia="仿宋_GB2312" w:cs="宋体"/>
                <w:color w:val="000000"/>
                <w:kern w:val="0"/>
                <w:sz w:val="32"/>
                <w:szCs w:val="32"/>
              </w:rPr>
              <w:t>产业园区环境基础设施完善、运行稳定</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hAnsi="Calibri"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5</w:t>
            </w:r>
          </w:p>
        </w:tc>
        <w:tc>
          <w:tcPr>
            <w:tcW w:w="569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仿宋_GB2312" w:hAnsi="Calibri" w:eastAsia="仿宋_GB2312"/>
                <w:color w:val="000000"/>
                <w:sz w:val="32"/>
                <w:szCs w:val="32"/>
              </w:rPr>
            </w:pPr>
            <w:r>
              <w:rPr>
                <w:rFonts w:hint="eastAsia" w:ascii="仿宋_GB2312" w:hAnsi="微软雅黑" w:eastAsia="仿宋_GB2312" w:cs="宋体"/>
                <w:color w:val="000000"/>
                <w:kern w:val="0"/>
                <w:sz w:val="32"/>
                <w:szCs w:val="32"/>
              </w:rPr>
              <w:t>产业园区环境管理和风险防控体系健全且近5年内未发生重大环境事件</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hAnsi="Calibri"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Calibri" w:eastAsia="仿宋_GB2312"/>
                <w:sz w:val="32"/>
                <w:szCs w:val="32"/>
                <w:lang w:eastAsia="zh-CN"/>
              </w:rPr>
            </w:pPr>
            <w:r>
              <w:rPr>
                <w:rFonts w:hint="eastAsia" w:ascii="仿宋_GB2312" w:eastAsia="仿宋_GB2312"/>
                <w:sz w:val="32"/>
                <w:szCs w:val="32"/>
                <w:lang w:val="en-US" w:eastAsia="zh-CN"/>
              </w:rPr>
              <w:t>6</w:t>
            </w:r>
          </w:p>
        </w:tc>
        <w:tc>
          <w:tcPr>
            <w:tcW w:w="8503"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仿宋_GB2312" w:hAnsi="Calibri" w:eastAsia="仿宋_GB2312"/>
                <w:color w:val="000000"/>
                <w:sz w:val="32"/>
                <w:szCs w:val="32"/>
              </w:rPr>
            </w:pPr>
            <w:r>
              <w:rPr>
                <w:rFonts w:hint="eastAsia" w:ascii="仿宋_GB2312" w:eastAsia="仿宋_GB2312" w:cs="宋体"/>
                <w:color w:val="000000"/>
                <w:kern w:val="0"/>
                <w:sz w:val="32"/>
                <w:szCs w:val="32"/>
              </w:rPr>
              <w:t>其他补充说明内容：</w:t>
            </w:r>
          </w:p>
        </w:tc>
      </w:tr>
    </w:tbl>
    <w:p>
      <w:pPr>
        <w:spacing w:line="560" w:lineRule="exact"/>
        <w:jc w:val="left"/>
        <w:rPr>
          <w:rFonts w:hint="eastAsia" w:ascii="仿宋_GB2312" w:hAnsi="Calibri" w:eastAsia="仿宋_GB2312"/>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46"/>
    <w:rsid w:val="002E4246"/>
    <w:rsid w:val="006257E6"/>
    <w:rsid w:val="00B111D4"/>
    <w:rsid w:val="00C846BF"/>
    <w:rsid w:val="0DDF7EB8"/>
    <w:rsid w:val="2B6FE2E2"/>
    <w:rsid w:val="37FBC7EC"/>
    <w:rsid w:val="3FF82AA6"/>
    <w:rsid w:val="4FDFAFA6"/>
    <w:rsid w:val="577EBDCF"/>
    <w:rsid w:val="5BB766F7"/>
    <w:rsid w:val="69FF231B"/>
    <w:rsid w:val="6B977CFD"/>
    <w:rsid w:val="6EAEE549"/>
    <w:rsid w:val="75AF1BE8"/>
    <w:rsid w:val="7C7F0D50"/>
    <w:rsid w:val="7D7F6042"/>
    <w:rsid w:val="7FC5E823"/>
    <w:rsid w:val="7FDE55B5"/>
    <w:rsid w:val="7FFF7729"/>
    <w:rsid w:val="9AEE6B6D"/>
    <w:rsid w:val="9E1DDE32"/>
    <w:rsid w:val="A7FF1256"/>
    <w:rsid w:val="B7F1A55C"/>
    <w:rsid w:val="C3F31704"/>
    <w:rsid w:val="CE6E3DEC"/>
    <w:rsid w:val="DF0F262A"/>
    <w:rsid w:val="E7D70BCB"/>
    <w:rsid w:val="EFBF73D9"/>
    <w:rsid w:val="F3B5801E"/>
    <w:rsid w:val="F7F747B1"/>
    <w:rsid w:val="F9DEDF2F"/>
    <w:rsid w:val="FA3BEEB4"/>
    <w:rsid w:val="FDBDF361"/>
    <w:rsid w:val="FDDDDB0B"/>
    <w:rsid w:val="FEF384E5"/>
    <w:rsid w:val="FF5BA4A2"/>
    <w:rsid w:val="FF6E569F"/>
    <w:rsid w:val="FF779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paragraph" w:customStyle="1" w:styleId="7">
    <w:name w:val="fujianli"/>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554</Words>
  <Characters>3161</Characters>
  <Lines>26</Lines>
  <Paragraphs>7</Paragraphs>
  <TotalTime>66</TotalTime>
  <ScaleCrop>false</ScaleCrop>
  <LinksUpToDate>false</LinksUpToDate>
  <CharactersWithSpaces>3708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2024-01-26T11:35:00Z</dcterms:created>
  <dc:creator>Leon Mark</dc:creator>
  <cp:lastModifiedBy>user</cp:lastModifiedBy>
  <dcterms:modified xsi:type="dcterms:W3CDTF">2024-02-06T12:55:10Z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