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黑体_GBK" w:hAnsi="方正黑体_GBK" w:eastAsia="方正黑体_GBK" w:cs="方正黑体_GBK"/>
          <w:b w:val="0"/>
          <w:bCs w:val="0"/>
          <w:kern w:val="44"/>
          <w:sz w:val="32"/>
          <w:szCs w:val="32"/>
        </w:rPr>
        <w:id w:val="-1268539893"/>
      </w:sdtPr>
      <w:sdtEndPr>
        <w:rPr>
          <w:rFonts w:cs="Times New Roman" w:asciiTheme="majorHAnsi" w:hAnsiTheme="majorHAnsi" w:eastAsiaTheme="majorEastAsia"/>
          <w:b/>
          <w:bCs/>
          <w:kern w:val="44"/>
          <w:sz w:val="32"/>
          <w:szCs w:val="44"/>
        </w:rPr>
      </w:sdtEndPr>
      <w:sdtContent>
        <w:p>
          <w:pPr>
            <w:pStyle w:val="44"/>
            <w:ind w:right="226" w:rightChars="94" w:firstLine="422" w:firstLineChars="132"/>
            <w:rPr>
              <w:rFonts w:hint="eastAsia" w:ascii="方正黑体_GBK" w:hAnsi="方正黑体_GBK" w:eastAsia="方正黑体_GBK" w:cs="方正黑体_GBK"/>
              <w:b w:val="0"/>
              <w:bCs w:val="0"/>
              <w:sz w:val="32"/>
              <w:szCs w:val="32"/>
              <w:lang w:val="en-US" w:eastAsia="zh-CN"/>
            </w:rPr>
          </w:pPr>
          <w:bookmarkStart w:id="0" w:name="_Hlk209166956"/>
          <w:bookmarkEnd w:id="0"/>
          <w:r>
            <w:rPr>
              <w:rFonts w:hint="eastAsia" w:ascii="方正黑体_GBK" w:hAnsi="方正黑体_GBK" w:eastAsia="方正黑体_GBK" w:cs="方正黑体_GBK"/>
              <w:b w:val="0"/>
              <w:bCs w:val="0"/>
              <w:kern w:val="44"/>
              <w:sz w:val="32"/>
              <w:szCs w:val="32"/>
              <w:lang w:eastAsia="zh-CN"/>
            </w:rPr>
            <w:t>附件</w:t>
          </w:r>
          <w:r>
            <w:rPr>
              <w:rFonts w:hint="eastAsia" w:ascii="方正黑体_GBK" w:hAnsi="方正黑体_GBK" w:eastAsia="方正黑体_GBK" w:cs="方正黑体_GBK"/>
              <w:b w:val="0"/>
              <w:bCs w:val="0"/>
              <w:kern w:val="44"/>
              <w:sz w:val="32"/>
              <w:szCs w:val="32"/>
              <w:lang w:val="en-US" w:eastAsia="zh-CN"/>
            </w:rPr>
            <w:t>2</w:t>
          </w:r>
        </w:p>
        <w:p>
          <w:pPr>
            <w:ind w:firstLine="480"/>
            <w:rPr>
              <w:rFonts w:cs="Times New Roman"/>
            </w:rPr>
          </w:pPr>
        </w:p>
        <w:p>
          <w:pPr>
            <w:ind w:firstLine="480"/>
            <w:rPr>
              <w:rFonts w:cs="Times New Roman"/>
            </w:rPr>
          </w:pPr>
        </w:p>
        <w:p>
          <w:pPr>
            <w:spacing w:before="163" w:beforeLines="50" w:line="480" w:lineRule="auto"/>
            <w:ind w:firstLine="0" w:firstLineChars="0"/>
            <w:jc w:val="center"/>
            <w:rPr>
              <w:rFonts w:eastAsia="方正小标宋_GBK" w:cs="Times New Roman"/>
              <w:b/>
              <w:sz w:val="48"/>
              <w:szCs w:val="48"/>
            </w:rPr>
          </w:pPr>
          <w:r>
            <w:rPr>
              <w:rFonts w:hint="eastAsia" w:eastAsia="方正小标宋_GBK" w:cs="Times New Roman"/>
              <w:b/>
              <w:sz w:val="48"/>
              <w:szCs w:val="48"/>
            </w:rPr>
            <w:t>汽车维修行业大气污染物排放标准</w:t>
          </w:r>
        </w:p>
        <w:p>
          <w:pPr>
            <w:spacing w:before="163" w:beforeLines="50" w:line="480" w:lineRule="auto"/>
            <w:ind w:right="367" w:rightChars="153" w:firstLine="0" w:firstLineChars="0"/>
            <w:jc w:val="center"/>
            <w:rPr>
              <w:rFonts w:eastAsia="方正小标宋_GBK" w:cs="Times New Roman"/>
              <w:b/>
              <w:sz w:val="48"/>
              <w:szCs w:val="48"/>
            </w:rPr>
          </w:pPr>
          <w:r>
            <w:rPr>
              <w:rFonts w:hint="eastAsia" w:eastAsia="方正小标宋_GBK" w:cs="Times New Roman"/>
              <w:b/>
              <w:sz w:val="48"/>
              <w:szCs w:val="48"/>
            </w:rPr>
            <w:t>编制说明</w:t>
          </w:r>
          <w:r>
            <w:rPr>
              <w:rFonts w:eastAsia="方正小标宋_GBK" w:cs="Times New Roman"/>
              <w:b/>
              <w:sz w:val="48"/>
              <w:szCs w:val="48"/>
            </w:rPr>
            <w:t>（征求意见稿）</w:t>
          </w:r>
        </w:p>
        <w:p>
          <w:pPr>
            <w:spacing w:before="163" w:beforeLines="50" w:line="480" w:lineRule="auto"/>
            <w:ind w:firstLine="0" w:firstLineChars="0"/>
            <w:jc w:val="center"/>
            <w:rPr>
              <w:rFonts w:hint="eastAsia" w:eastAsia="方正小标宋_GBK" w:cs="Times New Roman"/>
              <w:b/>
              <w:sz w:val="48"/>
              <w:szCs w:val="48"/>
            </w:rPr>
          </w:pPr>
        </w:p>
        <w:p>
          <w:pPr>
            <w:ind w:firstLine="480"/>
            <w:rPr>
              <w:rFonts w:cs="Times New Roman"/>
            </w:rPr>
          </w:pPr>
        </w:p>
        <w:p>
          <w:pPr>
            <w:ind w:firstLine="480"/>
            <w:rPr>
              <w:rFonts w:cs="Times New Roman"/>
            </w:rPr>
          </w:pPr>
        </w:p>
        <w:p>
          <w:pPr>
            <w:ind w:firstLine="480"/>
            <w:rPr>
              <w:rFonts w:cs="Times New Roman"/>
            </w:rPr>
          </w:pPr>
          <w:bookmarkStart w:id="124" w:name="_GoBack"/>
          <w:bookmarkEnd w:id="124"/>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p>
          <w:pPr>
            <w:ind w:firstLine="0" w:firstLineChars="0"/>
            <w:rPr>
              <w:rFonts w:cs="Times New Roman"/>
            </w:rPr>
          </w:pPr>
        </w:p>
        <w:p>
          <w:pPr>
            <w:ind w:firstLine="480"/>
            <w:rPr>
              <w:rFonts w:cs="Times New Roman"/>
            </w:rPr>
          </w:pPr>
        </w:p>
        <w:p>
          <w:pPr>
            <w:ind w:firstLine="480"/>
            <w:rPr>
              <w:rFonts w:cs="Times New Roman"/>
            </w:rPr>
          </w:pPr>
        </w:p>
        <w:p>
          <w:pPr>
            <w:ind w:firstLine="0" w:firstLineChars="0"/>
            <w:jc w:val="center"/>
            <w:rPr>
              <w:rFonts w:cs="Times New Roman"/>
              <w:sz w:val="28"/>
            </w:rPr>
          </w:pPr>
          <w:r>
            <w:rPr>
              <w:rFonts w:cs="Times New Roman"/>
              <w:sz w:val="28"/>
            </w:rPr>
            <w:t>《</w:t>
          </w:r>
          <w:r>
            <w:rPr>
              <w:rFonts w:hint="eastAsia" w:cs="Times New Roman"/>
              <w:sz w:val="28"/>
            </w:rPr>
            <w:t>汽车维修行业大气污染物排放标准</w:t>
          </w:r>
          <w:r>
            <w:rPr>
              <w:rFonts w:cs="Times New Roman"/>
              <w:sz w:val="28"/>
            </w:rPr>
            <w:t>》编制组</w:t>
          </w:r>
        </w:p>
        <w:p>
          <w:pPr>
            <w:ind w:firstLine="0" w:firstLineChars="0"/>
            <w:jc w:val="center"/>
            <w:rPr>
              <w:rFonts w:cs="Times New Roman"/>
              <w:sz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start="1"/>
              <w:cols w:space="425" w:num="1"/>
              <w:titlePg/>
              <w:docGrid w:type="lines" w:linePitch="326" w:charSpace="0"/>
            </w:sectPr>
          </w:pPr>
          <w:r>
            <w:rPr>
              <w:rFonts w:cs="Times New Roman"/>
              <w:bCs/>
              <w:sz w:val="28"/>
            </w:rPr>
            <w:t>二〇二</w:t>
          </w:r>
          <w:r>
            <w:rPr>
              <w:rFonts w:hint="eastAsia" w:cs="Times New Roman"/>
              <w:bCs/>
              <w:sz w:val="28"/>
              <w:lang w:eastAsia="zh-CN"/>
            </w:rPr>
            <w:t>六</w:t>
          </w:r>
          <w:r>
            <w:rPr>
              <w:rFonts w:cs="Times New Roman"/>
              <w:sz w:val="28"/>
            </w:rPr>
            <w:t>年</w:t>
          </w:r>
          <w:r>
            <w:rPr>
              <w:rFonts w:hint="eastAsia" w:cs="Times New Roman"/>
              <w:sz w:val="28"/>
              <w:lang w:eastAsia="zh-CN"/>
            </w:rPr>
            <w:t>四</w:t>
          </w:r>
          <w:r>
            <w:rPr>
              <w:rFonts w:cs="Times New Roman"/>
              <w:sz w:val="28"/>
            </w:rPr>
            <w:t>月</w:t>
          </w:r>
        </w:p>
        <w:sdt>
          <w:sdtPr>
            <w:rPr>
              <w:rFonts w:ascii="Times New Roman" w:hAnsi="Times New Roman" w:eastAsia="宋体" w:cs="Times New Roman"/>
              <w:color w:val="auto"/>
              <w:kern w:val="2"/>
              <w:sz w:val="24"/>
              <w:szCs w:val="22"/>
              <w:lang w:val="zh-CN"/>
            </w:rPr>
            <w:id w:val="745543877"/>
          </w:sdtPr>
          <w:sdtEndPr>
            <w:rPr>
              <w:rFonts w:ascii="Times New Roman" w:hAnsi="Times New Roman" w:eastAsia="宋体" w:cs="Times New Roman"/>
              <w:b/>
              <w:bCs/>
              <w:color w:val="auto"/>
              <w:kern w:val="2"/>
              <w:sz w:val="24"/>
              <w:szCs w:val="22"/>
              <w:lang w:val="zh-CN"/>
            </w:rPr>
          </w:sdtEndPr>
          <w:sdtContent>
            <w:p>
              <w:pPr>
                <w:pStyle w:val="64"/>
                <w:spacing w:before="163" w:after="163"/>
                <w:ind w:firstLine="480"/>
                <w:jc w:val="center"/>
                <w:rPr>
                  <w:rFonts w:ascii="Times New Roman" w:hAnsi="Times New Roman" w:eastAsia="宋体" w:cs="Times New Roman"/>
                  <w:b/>
                  <w:color w:val="auto"/>
                </w:rPr>
              </w:pPr>
              <w:bookmarkStart w:id="1" w:name="_Toc27660212"/>
              <w:r>
                <w:rPr>
                  <w:rFonts w:ascii="Times New Roman" w:hAnsi="Times New Roman" w:cs="Times New Roman"/>
                  <w:b/>
                  <w:color w:val="auto"/>
                  <w:lang w:val="zh-CN"/>
                </w:rPr>
                <w:t>目</w:t>
              </w:r>
              <w:r>
                <w:rPr>
                  <w:rFonts w:ascii="Times New Roman" w:hAnsi="Times New Roman" w:eastAsia="宋体" w:cs="Times New Roman"/>
                  <w:b/>
                  <w:color w:val="auto"/>
                  <w:lang w:val="zh-CN"/>
                </w:rPr>
                <w:t xml:space="preserve">  录</w:t>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TOC \o "1-4" \h \z \u </w:instrText>
              </w:r>
              <w:r>
                <w:fldChar w:fldCharType="separate"/>
              </w:r>
              <w:r>
                <w:fldChar w:fldCharType="begin"/>
              </w:r>
              <w:r>
                <w:instrText xml:space="preserve"> HYPERLINK \l "_Toc226540387" </w:instrText>
              </w:r>
              <w:r>
                <w:fldChar w:fldCharType="separate"/>
              </w:r>
              <w:r>
                <w:rPr>
                  <w:rStyle w:val="30"/>
                  <w:rFonts w:hint="eastAsia"/>
                </w:rPr>
                <w:t>1</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项目背景</w:t>
              </w:r>
              <w:r>
                <w:rPr>
                  <w:rFonts w:hint="eastAsia"/>
                </w:rPr>
                <w:tab/>
              </w:r>
              <w:r>
                <w:rPr>
                  <w:rFonts w:hint="eastAsia"/>
                </w:rPr>
                <w:fldChar w:fldCharType="begin"/>
              </w:r>
              <w:r>
                <w:rPr>
                  <w:rFonts w:hint="eastAsia"/>
                </w:rPr>
                <w:instrText xml:space="preserve"> </w:instrText>
              </w:r>
              <w:r>
                <w:instrText xml:space="preserve">PAGEREF _Toc226540387 \h</w:instrText>
              </w:r>
              <w:r>
                <w:rPr>
                  <w:rFonts w:hint="eastAsia"/>
                </w:rPr>
                <w:instrText xml:space="preserve"> </w:instrText>
              </w:r>
              <w:r>
                <w:rPr>
                  <w:rFonts w:hint="eastAsia"/>
                </w:rPr>
                <w:fldChar w:fldCharType="separate"/>
              </w:r>
              <w:r>
                <w:t>- 1 -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"_Toc226540388" </w:instrText>
              </w:r>
              <w:r>
                <w:fldChar w:fldCharType="separate"/>
              </w:r>
              <w:r>
                <w:rPr>
                  <w:rStyle w:val="30"/>
                  <w:rFonts w:hint="eastAsia"/>
                </w:rPr>
                <w:t>1.1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任务来源</w:t>
              </w:r>
              <w:r>
                <w:rPr>
                  <w:rFonts w:hint="eastAsia"/>
                </w:rPr>
                <w:tab/>
              </w:r>
              <w:r>
                <w:rPr>
                  <w:rFonts w:hint="eastAsia"/>
                </w:rPr>
                <w:fldChar w:fldCharType="begin"/>
              </w:r>
              <w:r>
                <w:rPr>
                  <w:rFonts w:hint="eastAsia"/>
                </w:rPr>
                <w:instrText xml:space="preserve"> </w:instrText>
              </w:r>
              <w:r>
                <w:instrText xml:space="preserve">PAGEREF _Toc226540388 \h</w:instrText>
              </w:r>
              <w:r>
                <w:rPr>
                  <w:rFonts w:hint="eastAsia"/>
                </w:rPr>
                <w:instrText xml:space="preserve"> </w:instrText>
              </w:r>
              <w:r>
                <w:rPr>
                  <w:rFonts w:hint="eastAsia"/>
                </w:rPr>
                <w:fldChar w:fldCharType="separate"/>
              </w:r>
              <w:r>
                <w:t>- 1 -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"_Toc226540389" </w:instrText>
              </w:r>
              <w:r>
                <w:fldChar w:fldCharType="separate"/>
              </w:r>
              <w:r>
                <w:rPr>
                  <w:rStyle w:val="30"/>
                  <w:rFonts w:hint="eastAsia"/>
                </w:rPr>
                <w:t>1.2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工作过程</w:t>
              </w:r>
              <w:r>
                <w:rPr>
                  <w:rFonts w:hint="eastAsia"/>
                </w:rPr>
                <w:tab/>
              </w:r>
              <w:r>
                <w:rPr>
                  <w:rFonts w:hint="eastAsia"/>
                </w:rPr>
                <w:fldChar w:fldCharType="begin"/>
              </w:r>
              <w:r>
                <w:rPr>
                  <w:rFonts w:hint="eastAsia"/>
                </w:rPr>
                <w:instrText xml:space="preserve"> </w:instrText>
              </w:r>
              <w:r>
                <w:instrText xml:space="preserve">PAGEREF _Toc226540389 \h</w:instrText>
              </w:r>
              <w:r>
                <w:rPr>
                  <w:rFonts w:hint="eastAsia"/>
                </w:rPr>
                <w:instrText xml:space="preserve"> </w:instrText>
              </w:r>
              <w:r>
                <w:rPr>
                  <w:rFonts w:hint="eastAsia"/>
                </w:rPr>
                <w:fldChar w:fldCharType="separate"/>
              </w:r>
              <w:r>
                <w:t>- 2 -</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"_Toc226540390" </w:instrText>
              </w:r>
              <w:r>
                <w:fldChar w:fldCharType="separate"/>
              </w:r>
              <w:r>
                <w:rPr>
                  <w:rStyle w:val="30"/>
                  <w:rFonts w:hint="eastAsia"/>
                </w:rPr>
                <w:t>2</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标准修订的必要性</w:t>
              </w:r>
              <w:r>
                <w:rPr>
                  <w:rFonts w:hint="eastAsia"/>
                </w:rPr>
                <w:tab/>
              </w:r>
              <w:r>
                <w:rPr>
                  <w:rFonts w:hint="eastAsia"/>
                </w:rPr>
                <w:fldChar w:fldCharType="begin"/>
              </w:r>
              <w:r>
                <w:rPr>
                  <w:rFonts w:hint="eastAsia"/>
                </w:rPr>
                <w:instrText xml:space="preserve"> </w:instrText>
              </w:r>
              <w:r>
                <w:instrText xml:space="preserve">PAGEREF _Toc226540390 \h</w:instrText>
              </w:r>
              <w:r>
                <w:rPr>
                  <w:rFonts w:hint="eastAsia"/>
                </w:rPr>
                <w:instrText xml:space="preserve"> </w:instrText>
              </w:r>
              <w:r>
                <w:rPr>
                  <w:rFonts w:hint="eastAsia"/>
                </w:rPr>
                <w:fldChar w:fldCharType="separate"/>
              </w:r>
              <w:r>
                <w:t>- 3 -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"_Toc226540391" </w:instrText>
              </w:r>
              <w:r>
                <w:fldChar w:fldCharType="separate"/>
              </w:r>
              <w:r>
                <w:rPr>
                  <w:rStyle w:val="30"/>
                  <w:rFonts w:hint="eastAsia"/>
                </w:rPr>
                <w:t>2.1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落实国家及重庆市地方相关文件的需要</w:t>
              </w:r>
              <w:r>
                <w:rPr>
                  <w:rFonts w:hint="eastAsia"/>
                </w:rPr>
                <w:tab/>
              </w:r>
              <w:r>
                <w:rPr>
                  <w:rFonts w:hint="eastAsia"/>
                </w:rPr>
                <w:fldChar w:fldCharType="begin"/>
              </w:r>
              <w:r>
                <w:rPr>
                  <w:rFonts w:hint="eastAsia"/>
                </w:rPr>
                <w:instrText xml:space="preserve"> </w:instrText>
              </w:r>
              <w:r>
                <w:instrText xml:space="preserve">PAGEREF _Toc226540391 \h</w:instrText>
              </w:r>
              <w:r>
                <w:rPr>
                  <w:rFonts w:hint="eastAsia"/>
                </w:rPr>
                <w:instrText xml:space="preserve"> </w:instrText>
              </w:r>
              <w:r>
                <w:rPr>
                  <w:rFonts w:hint="eastAsia"/>
                </w:rPr>
                <w:fldChar w:fldCharType="separate"/>
              </w:r>
              <w:r>
                <w:t>- 3 -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"_Toc226540392" </w:instrText>
              </w:r>
              <w:r>
                <w:fldChar w:fldCharType="separate"/>
              </w:r>
              <w:r>
                <w:rPr>
                  <w:rStyle w:val="30"/>
                  <w:rFonts w:hint="eastAsia"/>
                </w:rPr>
                <w:t>2.2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空气质量持续改善的需要</w:t>
              </w:r>
              <w:r>
                <w:rPr>
                  <w:rFonts w:hint="eastAsia"/>
                </w:rPr>
                <w:tab/>
              </w:r>
              <w:r>
                <w:rPr>
                  <w:rFonts w:hint="eastAsia"/>
                </w:rPr>
                <w:fldChar w:fldCharType="begin"/>
              </w:r>
              <w:r>
                <w:rPr>
                  <w:rFonts w:hint="eastAsia"/>
                </w:rPr>
                <w:instrText xml:space="preserve"> </w:instrText>
              </w:r>
              <w:r>
                <w:instrText xml:space="preserve">PAGEREF _Toc226540392 \h</w:instrText>
              </w:r>
              <w:r>
                <w:rPr>
                  <w:rFonts w:hint="eastAsia"/>
                </w:rPr>
                <w:instrText xml:space="preserve"> </w:instrText>
              </w:r>
              <w:r>
                <w:rPr>
                  <w:rFonts w:hint="eastAsia"/>
                </w:rPr>
                <w:fldChar w:fldCharType="separate"/>
              </w:r>
              <w:r>
                <w:t>- 3 -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"_Toc226540393" </w:instrText>
              </w:r>
              <w:r>
                <w:fldChar w:fldCharType="separate"/>
              </w:r>
              <w:r>
                <w:rPr>
                  <w:rStyle w:val="30"/>
                  <w:rFonts w:hint="eastAsia"/>
                </w:rPr>
                <w:t>2.3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调整重庆市控制区与排放限值等的管理需要</w:t>
              </w:r>
              <w:r>
                <w:rPr>
                  <w:rFonts w:hint="eastAsia"/>
                </w:rPr>
                <w:tab/>
              </w:r>
              <w:r>
                <w:rPr>
                  <w:rFonts w:hint="eastAsia"/>
                </w:rPr>
                <w:fldChar w:fldCharType="begin"/>
              </w:r>
              <w:r>
                <w:rPr>
                  <w:rFonts w:hint="eastAsia"/>
                </w:rPr>
                <w:instrText xml:space="preserve"> </w:instrText>
              </w:r>
              <w:r>
                <w:instrText xml:space="preserve">PAGEREF _Toc226540393 \h</w:instrText>
              </w:r>
              <w:r>
                <w:rPr>
                  <w:rFonts w:hint="eastAsia"/>
                </w:rPr>
                <w:instrText xml:space="preserve"> </w:instrText>
              </w:r>
              <w:r>
                <w:rPr>
                  <w:rFonts w:hint="eastAsia"/>
                </w:rPr>
                <w:fldChar w:fldCharType="separate"/>
              </w:r>
              <w:r>
                <w:t>- 4 -</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"_Toc226540394" </w:instrText>
              </w:r>
              <w:r>
                <w:fldChar w:fldCharType="separate"/>
              </w:r>
              <w:r>
                <w:rPr>
                  <w:rStyle w:val="30"/>
                  <w:rFonts w:hint="eastAsia"/>
                </w:rPr>
                <w:t>3</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国内外排放控制相关标准研究</w:t>
              </w:r>
              <w:r>
                <w:rPr>
                  <w:rFonts w:hint="eastAsia"/>
                </w:rPr>
                <w:tab/>
              </w:r>
              <w:r>
                <w:rPr>
                  <w:rFonts w:hint="eastAsia"/>
                </w:rPr>
                <w:fldChar w:fldCharType="begin"/>
              </w:r>
              <w:r>
                <w:rPr>
                  <w:rFonts w:hint="eastAsia"/>
                </w:rPr>
                <w:instrText xml:space="preserve"> </w:instrText>
              </w:r>
              <w:r>
                <w:instrText xml:space="preserve">PAGEREF _Toc226540394 \h</w:instrText>
              </w:r>
              <w:r>
                <w:rPr>
                  <w:rFonts w:hint="eastAsia"/>
                </w:rPr>
                <w:instrText xml:space="preserve"> </w:instrText>
              </w:r>
              <w:r>
                <w:rPr>
                  <w:rFonts w:hint="eastAsia"/>
                </w:rPr>
                <w:fldChar w:fldCharType="separate"/>
              </w:r>
              <w:r>
                <w:t>- 6 -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"_Toc226540395" </w:instrText>
              </w:r>
              <w:r>
                <w:fldChar w:fldCharType="separate"/>
              </w:r>
              <w:r>
                <w:rPr>
                  <w:rStyle w:val="30"/>
                  <w:rFonts w:hint="eastAsia"/>
                </w:rPr>
                <w:t>3.1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国外相关标准</w:t>
              </w:r>
              <w:r>
                <w:rPr>
                  <w:rFonts w:hint="eastAsia"/>
                </w:rPr>
                <w:tab/>
              </w:r>
              <w:r>
                <w:rPr>
                  <w:rFonts w:hint="eastAsia"/>
                </w:rPr>
                <w:fldChar w:fldCharType="begin"/>
              </w:r>
              <w:r>
                <w:rPr>
                  <w:rFonts w:hint="eastAsia"/>
                </w:rPr>
                <w:instrText xml:space="preserve"> </w:instrText>
              </w:r>
              <w:r>
                <w:instrText xml:space="preserve">PAGEREF _Toc226540395 \h</w:instrText>
              </w:r>
              <w:r>
                <w:rPr>
                  <w:rFonts w:hint="eastAsia"/>
                </w:rPr>
                <w:instrText xml:space="preserve"> </w:instrText>
              </w:r>
              <w:r>
                <w:rPr>
                  <w:rFonts w:hint="eastAsia"/>
                </w:rPr>
                <w:fldChar w:fldCharType="separate"/>
              </w:r>
              <w:r>
                <w:t>- 6 -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"_Toc226540396" </w:instrText>
              </w:r>
              <w:r>
                <w:fldChar w:fldCharType="separate"/>
              </w:r>
              <w:r>
                <w:rPr>
                  <w:rStyle w:val="30"/>
                  <w:rFonts w:hint="eastAsia"/>
                </w:rPr>
                <w:t>3.1.1</w:t>
              </w:r>
              <w:r>
                <w:rPr>
                  <w:rFonts w:hint="eastAsia" w:eastAsiaTheme="minorEastAsia"/>
                  <w:iCs w:val="0"/>
                  <w:sz w:val="22"/>
                  <w:szCs w:val="24"/>
                  <w14:ligatures w14:val="standardContextual"/>
                </w:rPr>
                <w:tab/>
              </w:r>
              <w:r>
                <w:rPr>
                  <w:rStyle w:val="30"/>
                  <w:rFonts w:hint="eastAsia" w:ascii="宋体" w:hAnsi="宋体" w:eastAsia="宋体" w:cs="宋体"/>
                </w:rPr>
                <w:t>美国</w:t>
              </w:r>
              <w:r>
                <w:rPr>
                  <w:rFonts w:hint="eastAsia"/>
                </w:rPr>
                <w:tab/>
              </w:r>
              <w:r>
                <w:rPr>
                  <w:rFonts w:hint="eastAsia"/>
                </w:rPr>
                <w:fldChar w:fldCharType="begin"/>
              </w:r>
              <w:r>
                <w:rPr>
                  <w:rFonts w:hint="eastAsia"/>
                </w:rPr>
                <w:instrText xml:space="preserve"> </w:instrText>
              </w:r>
              <w:r>
                <w:instrText xml:space="preserve">PAGEREF _Toc226540396 \h</w:instrText>
              </w:r>
              <w:r>
                <w:rPr>
                  <w:rFonts w:hint="eastAsia"/>
                </w:rPr>
                <w:instrText xml:space="preserve"> </w:instrText>
              </w:r>
              <w:r>
                <w:rPr>
                  <w:rFonts w:hint="eastAsia"/>
                </w:rPr>
                <w:fldChar w:fldCharType="separate"/>
              </w:r>
              <w:r>
                <w:t>- 6 -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"_Toc226540397" </w:instrText>
              </w:r>
              <w:r>
                <w:fldChar w:fldCharType="separate"/>
              </w:r>
              <w:r>
                <w:rPr>
                  <w:rStyle w:val="30"/>
                  <w:rFonts w:hint="eastAsia"/>
                </w:rPr>
                <w:t>3.1.2</w:t>
              </w:r>
              <w:r>
                <w:rPr>
                  <w:rFonts w:hint="eastAsia" w:eastAsiaTheme="minorEastAsia"/>
                  <w:iCs w:val="0"/>
                  <w:sz w:val="22"/>
                  <w:szCs w:val="24"/>
                  <w14:ligatures w14:val="standardContextual"/>
                </w:rPr>
                <w:tab/>
              </w:r>
              <w:r>
                <w:rPr>
                  <w:rStyle w:val="30"/>
                  <w:rFonts w:hint="eastAsia" w:ascii="宋体" w:hAnsi="宋体" w:eastAsia="宋体" w:cs="宋体"/>
                </w:rPr>
                <w:t>欧盟</w:t>
              </w:r>
              <w:r>
                <w:rPr>
                  <w:rFonts w:hint="eastAsia"/>
                </w:rPr>
                <w:tab/>
              </w:r>
              <w:r>
                <w:rPr>
                  <w:rFonts w:hint="eastAsia"/>
                </w:rPr>
                <w:fldChar w:fldCharType="begin"/>
              </w:r>
              <w:r>
                <w:rPr>
                  <w:rFonts w:hint="eastAsia"/>
                </w:rPr>
                <w:instrText xml:space="preserve"> </w:instrText>
              </w:r>
              <w:r>
                <w:instrText xml:space="preserve">PAGEREF _Toc226540397 \h</w:instrText>
              </w:r>
              <w:r>
                <w:rPr>
                  <w:rFonts w:hint="eastAsia"/>
                </w:rPr>
                <w:instrText xml:space="preserve"> </w:instrText>
              </w:r>
              <w:r>
                <w:rPr>
                  <w:rFonts w:hint="eastAsia"/>
                </w:rPr>
                <w:fldChar w:fldCharType="separate"/>
              </w:r>
              <w:r>
                <w:t>- 8 -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"_Toc226540398" </w:instrText>
              </w:r>
              <w:r>
                <w:fldChar w:fldCharType="separate"/>
              </w:r>
              <w:r>
                <w:rPr>
                  <w:rStyle w:val="30"/>
                  <w:rFonts w:hint="eastAsia"/>
                </w:rPr>
                <w:t>3.1.3</w:t>
              </w:r>
              <w:r>
                <w:rPr>
                  <w:rFonts w:hint="eastAsia" w:eastAsiaTheme="minorEastAsia"/>
                  <w:iCs w:val="0"/>
                  <w:sz w:val="22"/>
                  <w:szCs w:val="24"/>
                  <w14:ligatures w14:val="standardContextual"/>
                </w:rPr>
                <w:tab/>
              </w:r>
              <w:r>
                <w:rPr>
                  <w:rStyle w:val="30"/>
                  <w:rFonts w:hint="eastAsia" w:ascii="宋体" w:hAnsi="宋体" w:eastAsia="宋体" w:cs="宋体"/>
                </w:rPr>
                <w:t>英国</w:t>
              </w:r>
              <w:r>
                <w:rPr>
                  <w:rFonts w:hint="eastAsia"/>
                </w:rPr>
                <w:tab/>
              </w:r>
              <w:r>
                <w:rPr>
                  <w:rFonts w:hint="eastAsia"/>
                </w:rPr>
                <w:fldChar w:fldCharType="begin"/>
              </w:r>
              <w:r>
                <w:rPr>
                  <w:rFonts w:hint="eastAsia"/>
                </w:rPr>
                <w:instrText xml:space="preserve"> </w:instrText>
              </w:r>
              <w:r>
                <w:instrText xml:space="preserve">PAGEREF _Toc226540398 \h</w:instrText>
              </w:r>
              <w:r>
                <w:rPr>
                  <w:rFonts w:hint="eastAsia"/>
                </w:rPr>
                <w:instrText xml:space="preserve"> </w:instrText>
              </w:r>
              <w:r>
                <w:rPr>
                  <w:rFonts w:hint="eastAsia"/>
                </w:rPr>
                <w:fldChar w:fldCharType="separate"/>
              </w:r>
              <w:r>
                <w:t>- 8 -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"_Toc226540399" </w:instrText>
              </w:r>
              <w:r>
                <w:fldChar w:fldCharType="separate"/>
              </w:r>
              <w:r>
                <w:rPr>
                  <w:rStyle w:val="30"/>
                  <w:rFonts w:hint="eastAsia"/>
                </w:rPr>
                <w:t>3.1.4</w:t>
              </w:r>
              <w:r>
                <w:rPr>
                  <w:rFonts w:hint="eastAsia" w:eastAsiaTheme="minorEastAsia"/>
                  <w:iCs w:val="0"/>
                  <w:sz w:val="22"/>
                  <w:szCs w:val="24"/>
                  <w14:ligatures w14:val="standardContextual"/>
                </w:rPr>
                <w:tab/>
              </w:r>
              <w:r>
                <w:rPr>
                  <w:rStyle w:val="30"/>
                  <w:rFonts w:hint="eastAsia" w:ascii="宋体" w:hAnsi="宋体" w:eastAsia="宋体" w:cs="宋体"/>
                </w:rPr>
                <w:t>日本</w:t>
              </w:r>
              <w:r>
                <w:rPr>
                  <w:rFonts w:hint="eastAsia"/>
                </w:rPr>
                <w:tab/>
              </w:r>
              <w:r>
                <w:rPr>
                  <w:rFonts w:hint="eastAsia"/>
                </w:rPr>
                <w:fldChar w:fldCharType="begin"/>
              </w:r>
              <w:r>
                <w:rPr>
                  <w:rFonts w:hint="eastAsia"/>
                </w:rPr>
                <w:instrText xml:space="preserve"> </w:instrText>
              </w:r>
              <w:r>
                <w:instrText xml:space="preserve">PAGEREF _Toc226540399 \h</w:instrText>
              </w:r>
              <w:r>
                <w:rPr>
                  <w:rFonts w:hint="eastAsia"/>
                </w:rPr>
                <w:instrText xml:space="preserve"> </w:instrText>
              </w:r>
              <w:r>
                <w:rPr>
                  <w:rFonts w:hint="eastAsia"/>
                </w:rPr>
                <w:fldChar w:fldCharType="separate"/>
              </w:r>
              <w:r>
                <w:t>- 9 -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"_Toc226540400" </w:instrText>
              </w:r>
              <w:r>
                <w:fldChar w:fldCharType="separate"/>
              </w:r>
              <w:r>
                <w:rPr>
                  <w:rStyle w:val="30"/>
                  <w:rFonts w:hint="eastAsia"/>
                </w:rPr>
                <w:t>3.2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国家排放标准</w:t>
              </w:r>
              <w:r>
                <w:rPr>
                  <w:rFonts w:hint="eastAsia"/>
                </w:rPr>
                <w:tab/>
              </w:r>
              <w:r>
                <w:rPr>
                  <w:rFonts w:hint="eastAsia"/>
                </w:rPr>
                <w:fldChar w:fldCharType="begin"/>
              </w:r>
              <w:r>
                <w:rPr>
                  <w:rFonts w:hint="eastAsia"/>
                </w:rPr>
                <w:instrText xml:space="preserve"> </w:instrText>
              </w:r>
              <w:r>
                <w:instrText xml:space="preserve">PAGEREF _Toc226540400 \h</w:instrText>
              </w:r>
              <w:r>
                <w:rPr>
                  <w:rFonts w:hint="eastAsia"/>
                </w:rPr>
                <w:instrText xml:space="preserve"> </w:instrText>
              </w:r>
              <w:r>
                <w:rPr>
                  <w:rFonts w:hint="eastAsia"/>
                </w:rPr>
                <w:fldChar w:fldCharType="separate"/>
              </w:r>
              <w:r>
                <w:t>- 10 -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"_Toc226540401" </w:instrText>
              </w:r>
              <w:r>
                <w:fldChar w:fldCharType="separate"/>
              </w:r>
              <w:r>
                <w:rPr>
                  <w:rStyle w:val="30"/>
                  <w:rFonts w:hint="eastAsia"/>
                </w:rPr>
                <w:t>3.3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国内排放标准</w:t>
              </w:r>
              <w:r>
                <w:rPr>
                  <w:rFonts w:hint="eastAsia"/>
                </w:rPr>
                <w:tab/>
              </w:r>
              <w:r>
                <w:rPr>
                  <w:rFonts w:hint="eastAsia"/>
                </w:rPr>
                <w:fldChar w:fldCharType="begin"/>
              </w:r>
              <w:r>
                <w:rPr>
                  <w:rFonts w:hint="eastAsia"/>
                </w:rPr>
                <w:instrText xml:space="preserve"> </w:instrText>
              </w:r>
              <w:r>
                <w:instrText xml:space="preserve">PAGEREF _Toc226540401 \h</w:instrText>
              </w:r>
              <w:r>
                <w:rPr>
                  <w:rFonts w:hint="eastAsia"/>
                </w:rPr>
                <w:instrText xml:space="preserve"> </w:instrText>
              </w:r>
              <w:r>
                <w:rPr>
                  <w:rFonts w:hint="eastAsia"/>
                </w:rPr>
                <w:fldChar w:fldCharType="separate"/>
              </w:r>
              <w:r>
                <w:t>- 10 -</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"_Toc226540402" </w:instrText>
              </w:r>
              <w:r>
                <w:fldChar w:fldCharType="separate"/>
              </w:r>
              <w:r>
                <w:rPr>
                  <w:rStyle w:val="30"/>
                  <w:rFonts w:hint="eastAsia"/>
                </w:rPr>
                <w:t>4</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汽车维修行业产排污情况</w:t>
              </w:r>
              <w:r>
                <w:rPr>
                  <w:rFonts w:hint="eastAsia"/>
                </w:rPr>
                <w:tab/>
              </w:r>
              <w:r>
                <w:rPr>
                  <w:rFonts w:hint="eastAsia"/>
                </w:rPr>
                <w:fldChar w:fldCharType="begin"/>
              </w:r>
              <w:r>
                <w:rPr>
                  <w:rFonts w:hint="eastAsia"/>
                </w:rPr>
                <w:instrText xml:space="preserve"> </w:instrText>
              </w:r>
              <w:r>
                <w:instrText xml:space="preserve">PAGEREF _Toc226540402 \h</w:instrText>
              </w:r>
              <w:r>
                <w:rPr>
                  <w:rFonts w:hint="eastAsia"/>
                </w:rPr>
                <w:instrText xml:space="preserve"> </w:instrText>
              </w:r>
              <w:r>
                <w:rPr>
                  <w:rFonts w:hint="eastAsia"/>
                </w:rPr>
                <w:fldChar w:fldCharType="separate"/>
              </w:r>
              <w:r>
                <w:t>- 14 -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"_Toc226540403" </w:instrText>
              </w:r>
              <w:r>
                <w:fldChar w:fldCharType="separate"/>
              </w:r>
              <w:r>
                <w:rPr>
                  <w:rStyle w:val="30"/>
                  <w:rFonts w:hint="eastAsia"/>
                </w:rPr>
                <w:t>4.1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主要工艺和产排污特征</w:t>
              </w:r>
              <w:r>
                <w:rPr>
                  <w:rFonts w:hint="eastAsia"/>
                </w:rPr>
                <w:tab/>
              </w:r>
              <w:r>
                <w:rPr>
                  <w:rFonts w:hint="eastAsia"/>
                </w:rPr>
                <w:fldChar w:fldCharType="begin"/>
              </w:r>
              <w:r>
                <w:rPr>
                  <w:rFonts w:hint="eastAsia"/>
                </w:rPr>
                <w:instrText xml:space="preserve"> </w:instrText>
              </w:r>
              <w:r>
                <w:instrText xml:space="preserve">PAGEREF _Toc226540403 \h</w:instrText>
              </w:r>
              <w:r>
                <w:rPr>
                  <w:rFonts w:hint="eastAsia"/>
                </w:rPr>
                <w:instrText xml:space="preserve"> </w:instrText>
              </w:r>
              <w:r>
                <w:rPr>
                  <w:rFonts w:hint="eastAsia"/>
                </w:rPr>
                <w:fldChar w:fldCharType="separate"/>
              </w:r>
              <w:r>
                <w:t>- 14 -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"_Toc226540404" </w:instrText>
              </w:r>
              <w:r>
                <w:fldChar w:fldCharType="separate"/>
              </w:r>
              <w:r>
                <w:rPr>
                  <w:rStyle w:val="30"/>
                  <w:rFonts w:hint="eastAsia"/>
                </w:rPr>
                <w:t>4.1.1</w:t>
              </w:r>
              <w:r>
                <w:rPr>
                  <w:rFonts w:hint="eastAsia" w:eastAsiaTheme="minorEastAsia"/>
                  <w:iCs w:val="0"/>
                  <w:sz w:val="22"/>
                  <w:szCs w:val="24"/>
                  <w14:ligatures w14:val="standardContextual"/>
                </w:rPr>
                <w:tab/>
              </w:r>
              <w:r>
                <w:rPr>
                  <w:rStyle w:val="30"/>
                  <w:rFonts w:hint="eastAsia" w:ascii="宋体" w:hAnsi="宋体" w:eastAsia="宋体" w:cs="宋体"/>
                </w:rPr>
                <w:t>工艺流程</w:t>
              </w:r>
              <w:r>
                <w:rPr>
                  <w:rFonts w:hint="eastAsia"/>
                </w:rPr>
                <w:tab/>
              </w:r>
              <w:r>
                <w:rPr>
                  <w:rFonts w:hint="eastAsia"/>
                </w:rPr>
                <w:fldChar w:fldCharType="begin"/>
              </w:r>
              <w:r>
                <w:rPr>
                  <w:rFonts w:hint="eastAsia"/>
                </w:rPr>
                <w:instrText xml:space="preserve"> </w:instrText>
              </w:r>
              <w:r>
                <w:instrText xml:space="preserve">PAGEREF _Toc226540404 \h</w:instrText>
              </w:r>
              <w:r>
                <w:rPr>
                  <w:rFonts w:hint="eastAsia"/>
                </w:rPr>
                <w:instrText xml:space="preserve"> </w:instrText>
              </w:r>
              <w:r>
                <w:rPr>
                  <w:rFonts w:hint="eastAsia"/>
                </w:rPr>
                <w:fldChar w:fldCharType="separate"/>
              </w:r>
              <w:r>
                <w:t>- 14 -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"_Toc226540405" </w:instrText>
              </w:r>
              <w:r>
                <w:fldChar w:fldCharType="separate"/>
              </w:r>
              <w:r>
                <w:rPr>
                  <w:rStyle w:val="30"/>
                  <w:rFonts w:hint="eastAsia" w:ascii="宋体" w:hAnsi="宋体" w:eastAsia="宋体" w:cs="宋体"/>
                </w:rPr>
                <w:t>（</w:t>
              </w:r>
              <w:r>
                <w:rPr>
                  <w:rStyle w:val="30"/>
                  <w:rFonts w:hint="eastAsia" w:cs="Times New Roman"/>
                </w:rPr>
                <w:t>1</w:t>
              </w:r>
              <w:r>
                <w:rPr>
                  <w:rStyle w:val="30"/>
                  <w:rFonts w:hint="eastAsia" w:ascii="宋体" w:hAnsi="宋体" w:eastAsia="宋体" w:cs="宋体"/>
                </w:rPr>
                <w:t>）表面处理</w:t>
              </w:r>
              <w:r>
                <w:rPr>
                  <w:rFonts w:hint="eastAsia"/>
                </w:rPr>
                <w:tab/>
              </w:r>
              <w:r>
                <w:rPr>
                  <w:rFonts w:hint="eastAsia"/>
                </w:rPr>
                <w:fldChar w:fldCharType="begin"/>
              </w:r>
              <w:r>
                <w:rPr>
                  <w:rFonts w:hint="eastAsia"/>
                </w:rPr>
                <w:instrText xml:space="preserve"> </w:instrText>
              </w:r>
              <w:r>
                <w:instrText xml:space="preserve">PAGEREF _Toc226540405 \h</w:instrText>
              </w:r>
              <w:r>
                <w:rPr>
                  <w:rFonts w:hint="eastAsia"/>
                </w:rPr>
                <w:instrText xml:space="preserve"> </w:instrText>
              </w:r>
              <w:r>
                <w:rPr>
                  <w:rFonts w:hint="eastAsia"/>
                </w:rPr>
                <w:fldChar w:fldCharType="separate"/>
              </w:r>
              <w:r>
                <w:t>- 14 -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"_Toc226540406" </w:instrText>
              </w:r>
              <w:r>
                <w:fldChar w:fldCharType="separate"/>
              </w:r>
              <w:r>
                <w:rPr>
                  <w:rStyle w:val="30"/>
                  <w:rFonts w:hint="eastAsia" w:ascii="宋体" w:hAnsi="宋体" w:eastAsia="宋体" w:cs="宋体"/>
                </w:rPr>
                <w:t>（</w:t>
              </w:r>
              <w:r>
                <w:rPr>
                  <w:rStyle w:val="30"/>
                  <w:rFonts w:hint="eastAsia" w:cs="Times New Roman"/>
                </w:rPr>
                <w:t>2</w:t>
              </w:r>
              <w:r>
                <w:rPr>
                  <w:rStyle w:val="30"/>
                  <w:rFonts w:hint="eastAsia" w:ascii="宋体" w:hAnsi="宋体" w:eastAsia="宋体" w:cs="宋体"/>
                </w:rPr>
                <w:t>）打腻子</w:t>
              </w:r>
              <w:r>
                <w:rPr>
                  <w:rFonts w:hint="eastAsia"/>
                </w:rPr>
                <w:tab/>
              </w:r>
              <w:r>
                <w:rPr>
                  <w:rFonts w:hint="eastAsia"/>
                </w:rPr>
                <w:fldChar w:fldCharType="begin"/>
              </w:r>
              <w:r>
                <w:rPr>
                  <w:rFonts w:hint="eastAsia"/>
                </w:rPr>
                <w:instrText xml:space="preserve"> </w:instrText>
              </w:r>
              <w:r>
                <w:instrText xml:space="preserve">PAGEREF _Toc226540406 \h</w:instrText>
              </w:r>
              <w:r>
                <w:rPr>
                  <w:rFonts w:hint="eastAsia"/>
                </w:rPr>
                <w:instrText xml:space="preserve"> </w:instrText>
              </w:r>
              <w:r>
                <w:rPr>
                  <w:rFonts w:hint="eastAsia"/>
                </w:rPr>
                <w:fldChar w:fldCharType="separate"/>
              </w:r>
              <w:r>
                <w:t>- 15 -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"_Toc226540407" </w:instrText>
              </w:r>
              <w:r>
                <w:fldChar w:fldCharType="separate"/>
              </w:r>
              <w:r>
                <w:rPr>
                  <w:rStyle w:val="30"/>
                  <w:rFonts w:hint="eastAsia" w:ascii="宋体" w:hAnsi="宋体" w:eastAsia="宋体" w:cs="宋体"/>
                </w:rPr>
                <w:t>（</w:t>
              </w:r>
              <w:r>
                <w:rPr>
                  <w:rStyle w:val="30"/>
                  <w:rFonts w:hint="eastAsia" w:cs="Times New Roman"/>
                </w:rPr>
                <w:t>3</w:t>
              </w:r>
              <w:r>
                <w:rPr>
                  <w:rStyle w:val="30"/>
                  <w:rFonts w:hint="eastAsia" w:ascii="宋体" w:hAnsi="宋体" w:eastAsia="宋体" w:cs="宋体"/>
                </w:rPr>
                <w:t>）底漆</w:t>
              </w:r>
              <w:r>
                <w:rPr>
                  <w:rFonts w:hint="eastAsia"/>
                </w:rPr>
                <w:tab/>
              </w:r>
              <w:r>
                <w:rPr>
                  <w:rFonts w:hint="eastAsia"/>
                </w:rPr>
                <w:fldChar w:fldCharType="begin"/>
              </w:r>
              <w:r>
                <w:rPr>
                  <w:rFonts w:hint="eastAsia"/>
                </w:rPr>
                <w:instrText xml:space="preserve"> </w:instrText>
              </w:r>
              <w:r>
                <w:instrText xml:space="preserve">PAGEREF _Toc226540407 \h</w:instrText>
              </w:r>
              <w:r>
                <w:rPr>
                  <w:rFonts w:hint="eastAsia"/>
                </w:rPr>
                <w:instrText xml:space="preserve"> </w:instrText>
              </w:r>
              <w:r>
                <w:rPr>
                  <w:rFonts w:hint="eastAsia"/>
                </w:rPr>
                <w:fldChar w:fldCharType="separate"/>
              </w:r>
              <w:r>
                <w:t>- 16 -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"_Toc226540408" </w:instrText>
              </w:r>
              <w:r>
                <w:fldChar w:fldCharType="separate"/>
              </w:r>
              <w:r>
                <w:rPr>
                  <w:rStyle w:val="30"/>
                  <w:rFonts w:hint="eastAsia" w:ascii="宋体" w:hAnsi="宋体" w:eastAsia="宋体" w:cs="宋体"/>
                </w:rPr>
                <w:t>（</w:t>
              </w:r>
              <w:r>
                <w:rPr>
                  <w:rStyle w:val="30"/>
                  <w:rFonts w:hint="eastAsia" w:cs="Times New Roman"/>
                </w:rPr>
                <w:t>4</w:t>
              </w:r>
              <w:r>
                <w:rPr>
                  <w:rStyle w:val="30"/>
                  <w:rFonts w:hint="eastAsia" w:ascii="宋体" w:hAnsi="宋体" w:eastAsia="宋体" w:cs="宋体"/>
                </w:rPr>
                <w:t>）面漆</w:t>
              </w:r>
              <w:r>
                <w:rPr>
                  <w:rFonts w:hint="eastAsia"/>
                </w:rPr>
                <w:tab/>
              </w:r>
              <w:r>
                <w:rPr>
                  <w:rFonts w:hint="eastAsia"/>
                </w:rPr>
                <w:fldChar w:fldCharType="begin"/>
              </w:r>
              <w:r>
                <w:rPr>
                  <w:rFonts w:hint="eastAsia"/>
                </w:rPr>
                <w:instrText xml:space="preserve"> </w:instrText>
              </w:r>
              <w:r>
                <w:instrText xml:space="preserve">PAGEREF _Toc226540408 \h</w:instrText>
              </w:r>
              <w:r>
                <w:rPr>
                  <w:rFonts w:hint="eastAsia"/>
                </w:rPr>
                <w:instrText xml:space="preserve"> </w:instrText>
              </w:r>
              <w:r>
                <w:rPr>
                  <w:rFonts w:hint="eastAsia"/>
                </w:rPr>
                <w:fldChar w:fldCharType="separate"/>
              </w:r>
              <w:r>
                <w:t>- 16 -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"_Toc226540409" </w:instrText>
              </w:r>
              <w:r>
                <w:fldChar w:fldCharType="separate"/>
              </w:r>
              <w:r>
                <w:rPr>
                  <w:rStyle w:val="30"/>
                  <w:rFonts w:hint="eastAsia" w:ascii="宋体" w:hAnsi="宋体" w:eastAsia="宋体" w:cs="宋体"/>
                </w:rPr>
                <w:t>（</w:t>
              </w:r>
              <w:r>
                <w:rPr>
                  <w:rStyle w:val="30"/>
                  <w:rFonts w:hint="eastAsia" w:cs="Times New Roman"/>
                </w:rPr>
                <w:t>5</w:t>
              </w:r>
              <w:r>
                <w:rPr>
                  <w:rStyle w:val="30"/>
                  <w:rFonts w:hint="eastAsia" w:ascii="宋体" w:hAnsi="宋体" w:eastAsia="宋体" w:cs="宋体"/>
                </w:rPr>
                <w:t>）罩光</w:t>
              </w:r>
              <w:r>
                <w:rPr>
                  <w:rFonts w:hint="eastAsia"/>
                </w:rPr>
                <w:tab/>
              </w:r>
              <w:r>
                <w:rPr>
                  <w:rFonts w:hint="eastAsia"/>
                </w:rPr>
                <w:fldChar w:fldCharType="begin"/>
              </w:r>
              <w:r>
                <w:rPr>
                  <w:rFonts w:hint="eastAsia"/>
                </w:rPr>
                <w:instrText xml:space="preserve"> </w:instrText>
              </w:r>
              <w:r>
                <w:instrText xml:space="preserve">PAGEREF _Toc226540409 \h</w:instrText>
              </w:r>
              <w:r>
                <w:rPr>
                  <w:rFonts w:hint="eastAsia"/>
                </w:rPr>
                <w:instrText xml:space="preserve"> </w:instrText>
              </w:r>
              <w:r>
                <w:rPr>
                  <w:rFonts w:hint="eastAsia"/>
                </w:rPr>
                <w:fldChar w:fldCharType="separate"/>
              </w:r>
              <w:r>
                <w:t>- 17 -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"_Toc226540410" </w:instrText>
              </w:r>
              <w:r>
                <w:fldChar w:fldCharType="separate"/>
              </w:r>
              <w:r>
                <w:rPr>
                  <w:rStyle w:val="30"/>
                  <w:rFonts w:hint="eastAsia"/>
                </w:rPr>
                <w:t>4.1.2</w:t>
              </w:r>
              <w:r>
                <w:rPr>
                  <w:rFonts w:hint="eastAsia" w:eastAsiaTheme="minorEastAsia"/>
                  <w:iCs w:val="0"/>
                  <w:sz w:val="22"/>
                  <w:szCs w:val="24"/>
                  <w14:ligatures w14:val="standardContextual"/>
                </w:rPr>
                <w:tab/>
              </w:r>
              <w:r>
                <w:rPr>
                  <w:rStyle w:val="30"/>
                  <w:rFonts w:hint="eastAsia" w:ascii="宋体" w:hAnsi="宋体" w:eastAsia="宋体" w:cs="宋体"/>
                </w:rPr>
                <w:t>主要产排污环节</w:t>
              </w:r>
              <w:r>
                <w:rPr>
                  <w:rFonts w:hint="eastAsia"/>
                </w:rPr>
                <w:tab/>
              </w:r>
              <w:r>
                <w:rPr>
                  <w:rFonts w:hint="eastAsia"/>
                </w:rPr>
                <w:fldChar w:fldCharType="begin"/>
              </w:r>
              <w:r>
                <w:rPr>
                  <w:rFonts w:hint="eastAsia"/>
                </w:rPr>
                <w:instrText xml:space="preserve"> </w:instrText>
              </w:r>
              <w:r>
                <w:instrText xml:space="preserve">PAGEREF _Toc226540410 \h</w:instrText>
              </w:r>
              <w:r>
                <w:rPr>
                  <w:rFonts w:hint="eastAsia"/>
                </w:rPr>
                <w:instrText xml:space="preserve"> </w:instrText>
              </w:r>
              <w:r>
                <w:rPr>
                  <w:rFonts w:hint="eastAsia"/>
                </w:rPr>
                <w:fldChar w:fldCharType="separate"/>
              </w:r>
              <w:r>
                <w:t>- 17 -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"_Toc226540411" </w:instrText>
              </w:r>
              <w:r>
                <w:fldChar w:fldCharType="separate"/>
              </w:r>
              <w:r>
                <w:rPr>
                  <w:rStyle w:val="30"/>
                  <w:rFonts w:hint="eastAsia"/>
                </w:rPr>
                <w:t>4.1.3</w:t>
              </w:r>
              <w:r>
                <w:rPr>
                  <w:rFonts w:hint="eastAsia" w:eastAsiaTheme="minorEastAsia"/>
                  <w:iCs w:val="0"/>
                  <w:sz w:val="22"/>
                  <w:szCs w:val="24"/>
                  <w14:ligatures w14:val="standardContextual"/>
                </w:rPr>
                <w:tab/>
              </w:r>
              <w:r>
                <w:rPr>
                  <w:rStyle w:val="30"/>
                  <w:rFonts w:hint="eastAsia" w:ascii="宋体" w:hAnsi="宋体" w:eastAsia="宋体" w:cs="宋体"/>
                </w:rPr>
                <w:t>常用生产设备</w:t>
              </w:r>
              <w:r>
                <w:rPr>
                  <w:rFonts w:hint="eastAsia"/>
                </w:rPr>
                <w:tab/>
              </w:r>
              <w:r>
                <w:rPr>
                  <w:rFonts w:hint="eastAsia"/>
                </w:rPr>
                <w:fldChar w:fldCharType="begin"/>
              </w:r>
              <w:r>
                <w:rPr>
                  <w:rFonts w:hint="eastAsia"/>
                </w:rPr>
                <w:instrText xml:space="preserve"> </w:instrText>
              </w:r>
              <w:r>
                <w:instrText xml:space="preserve">PAGEREF _Toc226540411 \h</w:instrText>
              </w:r>
              <w:r>
                <w:rPr>
                  <w:rFonts w:hint="eastAsia"/>
                </w:rPr>
                <w:instrText xml:space="preserve"> </w:instrText>
              </w:r>
              <w:r>
                <w:rPr>
                  <w:rFonts w:hint="eastAsia"/>
                </w:rPr>
                <w:fldChar w:fldCharType="separate"/>
              </w:r>
              <w:r>
                <w:t>- 19 -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"_Toc226540412" </w:instrText>
              </w:r>
              <w:r>
                <w:fldChar w:fldCharType="separate"/>
              </w:r>
              <w:r>
                <w:rPr>
                  <w:rStyle w:val="30"/>
                  <w:rFonts w:hint="eastAsia" w:ascii="宋体" w:hAnsi="宋体" w:eastAsia="宋体" w:cs="宋体"/>
                </w:rPr>
                <w:t>（</w:t>
              </w:r>
              <w:r>
                <w:rPr>
                  <w:rStyle w:val="30"/>
                  <w:rFonts w:hint="eastAsia" w:cs="Times New Roman"/>
                </w:rPr>
                <w:t>1</w:t>
              </w:r>
              <w:r>
                <w:rPr>
                  <w:rStyle w:val="30"/>
                  <w:rFonts w:hint="eastAsia" w:ascii="宋体" w:hAnsi="宋体" w:eastAsia="宋体" w:cs="宋体"/>
                </w:rPr>
                <w:t>）刮涂和打磨工具</w:t>
              </w:r>
              <w:r>
                <w:rPr>
                  <w:rFonts w:hint="eastAsia"/>
                </w:rPr>
                <w:tab/>
              </w:r>
              <w:r>
                <w:rPr>
                  <w:rFonts w:hint="eastAsia"/>
                </w:rPr>
                <w:fldChar w:fldCharType="begin"/>
              </w:r>
              <w:r>
                <w:rPr>
                  <w:rFonts w:hint="eastAsia"/>
                </w:rPr>
                <w:instrText xml:space="preserve"> </w:instrText>
              </w:r>
              <w:r>
                <w:instrText xml:space="preserve">PAGEREF _Toc226540412 \h</w:instrText>
              </w:r>
              <w:r>
                <w:rPr>
                  <w:rFonts w:hint="eastAsia"/>
                </w:rPr>
                <w:instrText xml:space="preserve"> </w:instrText>
              </w:r>
              <w:r>
                <w:rPr>
                  <w:rFonts w:hint="eastAsia"/>
                </w:rPr>
                <w:fldChar w:fldCharType="separate"/>
              </w:r>
              <w:r>
                <w:t>- 19 -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"_Toc226540413" </w:instrText>
              </w:r>
              <w:r>
                <w:fldChar w:fldCharType="separate"/>
              </w:r>
              <w:r>
                <w:rPr>
                  <w:rStyle w:val="30"/>
                  <w:rFonts w:hint="eastAsia" w:ascii="宋体" w:hAnsi="宋体" w:eastAsia="宋体" w:cs="宋体"/>
                </w:rPr>
                <w:t>（</w:t>
              </w:r>
              <w:r>
                <w:rPr>
                  <w:rStyle w:val="30"/>
                  <w:rFonts w:hint="eastAsia" w:cs="Times New Roman"/>
                </w:rPr>
                <w:t>2</w:t>
              </w:r>
              <w:r>
                <w:rPr>
                  <w:rStyle w:val="30"/>
                  <w:rFonts w:hint="eastAsia" w:ascii="宋体" w:hAnsi="宋体" w:eastAsia="宋体" w:cs="宋体"/>
                </w:rPr>
                <w:t>）喷涂工具</w:t>
              </w:r>
              <w:r>
                <w:rPr>
                  <w:rFonts w:hint="eastAsia"/>
                </w:rPr>
                <w:tab/>
              </w:r>
              <w:r>
                <w:rPr>
                  <w:rFonts w:hint="eastAsia"/>
                </w:rPr>
                <w:fldChar w:fldCharType="begin"/>
              </w:r>
              <w:r>
                <w:rPr>
                  <w:rFonts w:hint="eastAsia"/>
                </w:rPr>
                <w:instrText xml:space="preserve"> </w:instrText>
              </w:r>
              <w:r>
                <w:instrText xml:space="preserve">PAGEREF _Toc226540413 \h</w:instrText>
              </w:r>
              <w:r>
                <w:rPr>
                  <w:rFonts w:hint="eastAsia"/>
                </w:rPr>
                <w:instrText xml:space="preserve"> </w:instrText>
              </w:r>
              <w:r>
                <w:rPr>
                  <w:rFonts w:hint="eastAsia"/>
                </w:rPr>
                <w:fldChar w:fldCharType="separate"/>
              </w:r>
              <w:r>
                <w:t>- 20 -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"_Toc226540414" </w:instrText>
              </w:r>
              <w:r>
                <w:fldChar w:fldCharType="separate"/>
              </w:r>
              <w:r>
                <w:rPr>
                  <w:rStyle w:val="30"/>
                  <w:rFonts w:hint="eastAsia" w:ascii="宋体" w:hAnsi="宋体" w:eastAsia="宋体" w:cs="宋体"/>
                </w:rPr>
                <w:t>（</w:t>
              </w:r>
              <w:r>
                <w:rPr>
                  <w:rStyle w:val="30"/>
                  <w:rFonts w:hint="eastAsia" w:cs="Times New Roman"/>
                </w:rPr>
                <w:t>3</w:t>
              </w:r>
              <w:r>
                <w:rPr>
                  <w:rStyle w:val="30"/>
                  <w:rFonts w:hint="eastAsia" w:ascii="宋体" w:hAnsi="宋体" w:eastAsia="宋体" w:cs="宋体"/>
                </w:rPr>
                <w:t>）喷烤漆房</w:t>
              </w:r>
              <w:r>
                <w:rPr>
                  <w:rFonts w:hint="eastAsia"/>
                </w:rPr>
                <w:tab/>
              </w:r>
              <w:r>
                <w:rPr>
                  <w:rFonts w:hint="eastAsia"/>
                </w:rPr>
                <w:fldChar w:fldCharType="begin"/>
              </w:r>
              <w:r>
                <w:rPr>
                  <w:rFonts w:hint="eastAsia"/>
                </w:rPr>
                <w:instrText xml:space="preserve"> </w:instrText>
              </w:r>
              <w:r>
                <w:instrText xml:space="preserve">PAGEREF _Toc226540414 \h</w:instrText>
              </w:r>
              <w:r>
                <w:rPr>
                  <w:rFonts w:hint="eastAsia"/>
                </w:rPr>
                <w:instrText xml:space="preserve"> </w:instrText>
              </w:r>
              <w:r>
                <w:rPr>
                  <w:rFonts w:hint="eastAsia"/>
                </w:rPr>
                <w:fldChar w:fldCharType="separate"/>
              </w:r>
              <w:r>
                <w:t>- 22 -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"_Toc226540415" </w:instrText>
              </w:r>
              <w:r>
                <w:fldChar w:fldCharType="separate"/>
              </w:r>
              <w:r>
                <w:rPr>
                  <w:rStyle w:val="30"/>
                  <w:rFonts w:hint="eastAsia" w:ascii="宋体" w:hAnsi="宋体" w:eastAsia="宋体" w:cs="宋体"/>
                </w:rPr>
                <w:t>（</w:t>
              </w:r>
              <w:r>
                <w:rPr>
                  <w:rStyle w:val="30"/>
                  <w:rFonts w:hint="eastAsia" w:cs="Times New Roman"/>
                </w:rPr>
                <w:t>4</w:t>
              </w:r>
              <w:r>
                <w:rPr>
                  <w:rStyle w:val="30"/>
                  <w:rFonts w:hint="eastAsia" w:ascii="宋体" w:hAnsi="宋体" w:eastAsia="宋体" w:cs="宋体"/>
                </w:rPr>
                <w:t>）烤灯</w:t>
              </w:r>
              <w:r>
                <w:rPr>
                  <w:rFonts w:hint="eastAsia"/>
                </w:rPr>
                <w:tab/>
              </w:r>
              <w:r>
                <w:rPr>
                  <w:rFonts w:hint="eastAsia"/>
                </w:rPr>
                <w:fldChar w:fldCharType="begin"/>
              </w:r>
              <w:r>
                <w:rPr>
                  <w:rFonts w:hint="eastAsia"/>
                </w:rPr>
                <w:instrText xml:space="preserve"> </w:instrText>
              </w:r>
              <w:r>
                <w:instrText xml:space="preserve">PAGEREF _Toc226540415 \h</w:instrText>
              </w:r>
              <w:r>
                <w:rPr>
                  <w:rFonts w:hint="eastAsia"/>
                </w:rPr>
                <w:instrText xml:space="preserve"> </w:instrText>
              </w:r>
              <w:r>
                <w:rPr>
                  <w:rFonts w:hint="eastAsia"/>
                </w:rPr>
                <w:fldChar w:fldCharType="separate"/>
              </w:r>
              <w:r>
                <w:t>- 24 -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"_Toc226540416" </w:instrText>
              </w:r>
              <w:r>
                <w:fldChar w:fldCharType="separate"/>
              </w:r>
              <w:r>
                <w:rPr>
                  <w:rStyle w:val="30"/>
                  <w:rFonts w:hint="eastAsia" w:ascii="宋体" w:hAnsi="宋体" w:eastAsia="宋体" w:cs="宋体"/>
                </w:rPr>
                <w:t>（</w:t>
              </w:r>
              <w:r>
                <w:rPr>
                  <w:rStyle w:val="30"/>
                  <w:rFonts w:hint="eastAsia" w:cs="Times New Roman"/>
                </w:rPr>
                <w:t>5</w:t>
              </w:r>
              <w:r>
                <w:rPr>
                  <w:rStyle w:val="30"/>
                  <w:rFonts w:hint="eastAsia" w:ascii="宋体" w:hAnsi="宋体" w:eastAsia="宋体" w:cs="宋体"/>
                </w:rPr>
                <w:t>）环保系统</w:t>
              </w:r>
              <w:r>
                <w:rPr>
                  <w:rFonts w:hint="eastAsia"/>
                </w:rPr>
                <w:tab/>
              </w:r>
              <w:r>
                <w:rPr>
                  <w:rFonts w:hint="eastAsia"/>
                </w:rPr>
                <w:fldChar w:fldCharType="begin"/>
              </w:r>
              <w:r>
                <w:rPr>
                  <w:rFonts w:hint="eastAsia"/>
                </w:rPr>
                <w:instrText xml:space="preserve"> </w:instrText>
              </w:r>
              <w:r>
                <w:instrText xml:space="preserve">PAGEREF _Toc226540416 \h</w:instrText>
              </w:r>
              <w:r>
                <w:rPr>
                  <w:rFonts w:hint="eastAsia"/>
                </w:rPr>
                <w:instrText xml:space="preserve"> </w:instrText>
              </w:r>
              <w:r>
                <w:rPr>
                  <w:rFonts w:hint="eastAsia"/>
                </w:rPr>
                <w:fldChar w:fldCharType="separate"/>
              </w:r>
              <w:r>
                <w:t>- 24 -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"_Toc226540417" </w:instrText>
              </w:r>
              <w:r>
                <w:fldChar w:fldCharType="separate"/>
              </w:r>
              <w:r>
                <w:rPr>
                  <w:rStyle w:val="30"/>
                  <w:rFonts w:hint="eastAsia"/>
                </w:rPr>
                <w:t>4.2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主要大气污染物特征</w:t>
              </w:r>
              <w:r>
                <w:rPr>
                  <w:rFonts w:hint="eastAsia"/>
                </w:rPr>
                <w:tab/>
              </w:r>
              <w:r>
                <w:rPr>
                  <w:rFonts w:hint="eastAsia"/>
                </w:rPr>
                <w:fldChar w:fldCharType="begin"/>
              </w:r>
              <w:r>
                <w:rPr>
                  <w:rFonts w:hint="eastAsia"/>
                </w:rPr>
                <w:instrText xml:space="preserve"> </w:instrText>
              </w:r>
              <w:r>
                <w:instrText xml:space="preserve">PAGEREF _Toc226540417 \h</w:instrText>
              </w:r>
              <w:r>
                <w:rPr>
                  <w:rFonts w:hint="eastAsia"/>
                </w:rPr>
                <w:instrText xml:space="preserve"> </w:instrText>
              </w:r>
              <w:r>
                <w:rPr>
                  <w:rFonts w:hint="eastAsia"/>
                </w:rPr>
                <w:fldChar w:fldCharType="separate"/>
              </w:r>
              <w:r>
                <w:t>- 25 -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"_Toc226540418" </w:instrText>
              </w:r>
              <w:r>
                <w:fldChar w:fldCharType="separate"/>
              </w:r>
              <w:r>
                <w:rPr>
                  <w:rStyle w:val="30"/>
                  <w:rFonts w:hint="eastAsia"/>
                </w:rPr>
                <w:t>4.2.1</w:t>
              </w:r>
              <w:r>
                <w:rPr>
                  <w:rFonts w:hint="eastAsia" w:eastAsiaTheme="minorEastAsia"/>
                  <w:iCs w:val="0"/>
                  <w:sz w:val="22"/>
                  <w:szCs w:val="24"/>
                  <w14:ligatures w14:val="standardContextual"/>
                </w:rPr>
                <w:tab/>
              </w:r>
              <w:r>
                <w:rPr>
                  <w:rStyle w:val="30"/>
                  <w:rFonts w:hint="eastAsia" w:ascii="宋体" w:hAnsi="宋体" w:eastAsia="宋体" w:cs="宋体"/>
                </w:rPr>
                <w:t>确定排放控制的污染物种类</w:t>
              </w:r>
              <w:r>
                <w:rPr>
                  <w:rFonts w:hint="eastAsia"/>
                </w:rPr>
                <w:tab/>
              </w:r>
              <w:r>
                <w:rPr>
                  <w:rFonts w:hint="eastAsia"/>
                </w:rPr>
                <w:fldChar w:fldCharType="begin"/>
              </w:r>
              <w:r>
                <w:rPr>
                  <w:rFonts w:hint="eastAsia"/>
                </w:rPr>
                <w:instrText xml:space="preserve"> </w:instrText>
              </w:r>
              <w:r>
                <w:instrText xml:space="preserve">PAGEREF _Toc226540418 \h</w:instrText>
              </w:r>
              <w:r>
                <w:rPr>
                  <w:rFonts w:hint="eastAsia"/>
                </w:rPr>
                <w:instrText xml:space="preserve"> </w:instrText>
              </w:r>
              <w:r>
                <w:rPr>
                  <w:rFonts w:hint="eastAsia"/>
                </w:rPr>
                <w:fldChar w:fldCharType="separate"/>
              </w:r>
              <w:r>
                <w:t>- 25 -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"_Toc226540419" </w:instrText>
              </w:r>
              <w:r>
                <w:fldChar w:fldCharType="separate"/>
              </w:r>
              <w:r>
                <w:rPr>
                  <w:rStyle w:val="30"/>
                  <w:rFonts w:hint="eastAsia"/>
                </w:rPr>
                <w:t>4.2.2</w:t>
              </w:r>
              <w:r>
                <w:rPr>
                  <w:rFonts w:hint="eastAsia" w:eastAsiaTheme="minorEastAsia"/>
                  <w:iCs w:val="0"/>
                  <w:sz w:val="22"/>
                  <w:szCs w:val="24"/>
                  <w14:ligatures w14:val="standardContextual"/>
                </w:rPr>
                <w:tab/>
              </w:r>
              <w:r>
                <w:rPr>
                  <w:rStyle w:val="30"/>
                  <w:rFonts w:hint="eastAsia" w:ascii="宋体" w:hAnsi="宋体" w:eastAsia="宋体" w:cs="宋体"/>
                </w:rPr>
                <w:t>原料中</w:t>
              </w:r>
              <w:r>
                <w:rPr>
                  <w:rStyle w:val="30"/>
                  <w:rFonts w:hint="eastAsia"/>
                </w:rPr>
                <w:t>VOCs</w:t>
              </w:r>
              <w:r>
                <w:rPr>
                  <w:rStyle w:val="30"/>
                  <w:rFonts w:hint="eastAsia" w:ascii="宋体" w:hAnsi="宋体" w:eastAsia="宋体" w:cs="宋体"/>
                </w:rPr>
                <w:t>的主要成分</w:t>
              </w:r>
              <w:r>
                <w:rPr>
                  <w:rFonts w:hint="eastAsia"/>
                </w:rPr>
                <w:tab/>
              </w:r>
              <w:r>
                <w:rPr>
                  <w:rFonts w:hint="eastAsia"/>
                </w:rPr>
                <w:fldChar w:fldCharType="begin"/>
              </w:r>
              <w:r>
                <w:rPr>
                  <w:rFonts w:hint="eastAsia"/>
                </w:rPr>
                <w:instrText xml:space="preserve"> </w:instrText>
              </w:r>
              <w:r>
                <w:instrText xml:space="preserve">PAGEREF _Toc226540419 \h</w:instrText>
              </w:r>
              <w:r>
                <w:rPr>
                  <w:rFonts w:hint="eastAsia"/>
                </w:rPr>
                <w:instrText xml:space="preserve"> </w:instrText>
              </w:r>
              <w:r>
                <w:rPr>
                  <w:rFonts w:hint="eastAsia"/>
                </w:rPr>
                <w:fldChar w:fldCharType="separate"/>
              </w:r>
              <w:r>
                <w:t>- 25 -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"_Toc226540420" </w:instrText>
              </w:r>
              <w:r>
                <w:fldChar w:fldCharType="separate"/>
              </w:r>
              <w:r>
                <w:rPr>
                  <w:rStyle w:val="30"/>
                  <w:rFonts w:hint="eastAsia" w:ascii="宋体" w:hAnsi="宋体" w:eastAsia="宋体" w:cs="宋体"/>
                </w:rPr>
                <w:t>（</w:t>
              </w:r>
              <w:r>
                <w:rPr>
                  <w:rStyle w:val="30"/>
                  <w:rFonts w:hint="eastAsia" w:cs="Times New Roman"/>
                </w:rPr>
                <w:t>1</w:t>
              </w:r>
              <w:r>
                <w:rPr>
                  <w:rStyle w:val="30"/>
                  <w:rFonts w:hint="eastAsia" w:ascii="宋体" w:hAnsi="宋体" w:eastAsia="宋体" w:cs="宋体"/>
                </w:rPr>
                <w:t>）文献值</w:t>
              </w:r>
              <w:r>
                <w:rPr>
                  <w:rFonts w:hint="eastAsia"/>
                </w:rPr>
                <w:tab/>
              </w:r>
              <w:r>
                <w:rPr>
                  <w:rFonts w:hint="eastAsia"/>
                </w:rPr>
                <w:fldChar w:fldCharType="begin"/>
              </w:r>
              <w:r>
                <w:rPr>
                  <w:rFonts w:hint="eastAsia"/>
                </w:rPr>
                <w:instrText xml:space="preserve"> </w:instrText>
              </w:r>
              <w:r>
                <w:instrText xml:space="preserve">PAGEREF _Toc226540420 \h</w:instrText>
              </w:r>
              <w:r>
                <w:rPr>
                  <w:rFonts w:hint="eastAsia"/>
                </w:rPr>
                <w:instrText xml:space="preserve"> </w:instrText>
              </w:r>
              <w:r>
                <w:rPr>
                  <w:rFonts w:hint="eastAsia"/>
                </w:rPr>
                <w:fldChar w:fldCharType="separate"/>
              </w:r>
              <w:r>
                <w:t>- 25 -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"_Toc226540421" </w:instrText>
              </w:r>
              <w:r>
                <w:fldChar w:fldCharType="separate"/>
              </w:r>
              <w:r>
                <w:rPr>
                  <w:rStyle w:val="30"/>
                  <w:rFonts w:hint="eastAsia" w:ascii="宋体" w:hAnsi="宋体" w:eastAsia="宋体" w:cs="宋体"/>
                </w:rPr>
                <w:t>（</w:t>
              </w:r>
              <w:r>
                <w:rPr>
                  <w:rStyle w:val="30"/>
                  <w:rFonts w:hint="eastAsia" w:cs="Times New Roman"/>
                </w:rPr>
                <w:t>2</w:t>
              </w:r>
              <w:r>
                <w:rPr>
                  <w:rStyle w:val="30"/>
                  <w:rFonts w:hint="eastAsia" w:ascii="宋体" w:hAnsi="宋体" w:eastAsia="宋体" w:cs="宋体"/>
                </w:rPr>
                <w:t>）重庆实测数据</w:t>
              </w:r>
              <w:r>
                <w:rPr>
                  <w:rFonts w:hint="eastAsia"/>
                </w:rPr>
                <w:tab/>
              </w:r>
              <w:r>
                <w:rPr>
                  <w:rFonts w:hint="eastAsia"/>
                </w:rPr>
                <w:fldChar w:fldCharType="begin"/>
              </w:r>
              <w:r>
                <w:rPr>
                  <w:rFonts w:hint="eastAsia"/>
                </w:rPr>
                <w:instrText xml:space="preserve"> </w:instrText>
              </w:r>
              <w:r>
                <w:instrText xml:space="preserve">PAGEREF _Toc226540421 \h</w:instrText>
              </w:r>
              <w:r>
                <w:rPr>
                  <w:rFonts w:hint="eastAsia"/>
                </w:rPr>
                <w:instrText xml:space="preserve"> </w:instrText>
              </w:r>
              <w:r>
                <w:rPr>
                  <w:rFonts w:hint="eastAsia"/>
                </w:rPr>
                <w:fldChar w:fldCharType="separate"/>
              </w:r>
              <w:r>
                <w:t>- 26 -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"_Toc226540422" </w:instrText>
              </w:r>
              <w:r>
                <w:fldChar w:fldCharType="separate"/>
              </w:r>
              <w:r>
                <w:rPr>
                  <w:rStyle w:val="30"/>
                  <w:rFonts w:hint="eastAsia"/>
                </w:rPr>
                <w:t>4.2.3</w:t>
              </w:r>
              <w:r>
                <w:rPr>
                  <w:rFonts w:hint="eastAsia" w:eastAsiaTheme="minorEastAsia"/>
                  <w:iCs w:val="0"/>
                  <w:sz w:val="22"/>
                  <w:szCs w:val="24"/>
                  <w14:ligatures w14:val="standardContextual"/>
                </w:rPr>
                <w:tab/>
              </w:r>
              <w:r>
                <w:rPr>
                  <w:rStyle w:val="30"/>
                  <w:rFonts w:hint="eastAsia" w:ascii="宋体" w:hAnsi="宋体" w:eastAsia="宋体" w:cs="宋体"/>
                </w:rPr>
                <w:t>毒性</w:t>
              </w:r>
              <w:r>
                <w:rPr>
                  <w:rFonts w:hint="eastAsia"/>
                </w:rPr>
                <w:tab/>
              </w:r>
              <w:r>
                <w:rPr>
                  <w:rFonts w:hint="eastAsia"/>
                </w:rPr>
                <w:fldChar w:fldCharType="begin"/>
              </w:r>
              <w:r>
                <w:rPr>
                  <w:rFonts w:hint="eastAsia"/>
                </w:rPr>
                <w:instrText xml:space="preserve"> </w:instrText>
              </w:r>
              <w:r>
                <w:instrText xml:space="preserve">PAGEREF _Toc226540422 \h</w:instrText>
              </w:r>
              <w:r>
                <w:rPr>
                  <w:rFonts w:hint="eastAsia"/>
                </w:rPr>
                <w:instrText xml:space="preserve"> </w:instrText>
              </w:r>
              <w:r>
                <w:rPr>
                  <w:rFonts w:hint="eastAsia"/>
                </w:rPr>
                <w:fldChar w:fldCharType="separate"/>
              </w:r>
              <w:r>
                <w:t>- 27 -</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"_Toc226540423" </w:instrText>
              </w:r>
              <w:r>
                <w:fldChar w:fldCharType="separate"/>
              </w:r>
              <w:r>
                <w:rPr>
                  <w:rStyle w:val="30"/>
                  <w:rFonts w:hint="eastAsia"/>
                </w:rPr>
                <w:t>5</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汽车维修行业污染控制技术</w:t>
              </w:r>
              <w:r>
                <w:rPr>
                  <w:rFonts w:hint="eastAsia"/>
                </w:rPr>
                <w:tab/>
              </w:r>
              <w:r>
                <w:rPr>
                  <w:rFonts w:hint="eastAsia"/>
                </w:rPr>
                <w:fldChar w:fldCharType="begin"/>
              </w:r>
              <w:r>
                <w:rPr>
                  <w:rFonts w:hint="eastAsia"/>
                </w:rPr>
                <w:instrText xml:space="preserve"> </w:instrText>
              </w:r>
              <w:r>
                <w:instrText xml:space="preserve">PAGEREF _Toc226540423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"_Toc226540424" </w:instrText>
              </w:r>
              <w:r>
                <w:fldChar w:fldCharType="separate"/>
              </w:r>
              <w:r>
                <w:rPr>
                  <w:rStyle w:val="30"/>
                  <w:rFonts w:hint="eastAsia"/>
                </w:rPr>
                <w:t>5.1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污染预防技术</w:t>
              </w:r>
              <w:r>
                <w:rPr>
                  <w:rFonts w:hint="eastAsia"/>
                </w:rPr>
                <w:tab/>
              </w:r>
              <w:r>
                <w:rPr>
                  <w:rFonts w:hint="eastAsia"/>
                </w:rPr>
                <w:fldChar w:fldCharType="begin"/>
              </w:r>
              <w:r>
                <w:rPr>
                  <w:rFonts w:hint="eastAsia"/>
                </w:rPr>
                <w:instrText xml:space="preserve"> </w:instrText>
              </w:r>
              <w:r>
                <w:instrText xml:space="preserve">PAGEREF _Toc226540424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"_Toc226540425" </w:instrText>
              </w:r>
              <w:r>
                <w:fldChar w:fldCharType="separate"/>
              </w:r>
              <w:r>
                <w:rPr>
                  <w:rStyle w:val="30"/>
                  <w:rFonts w:hint="eastAsia"/>
                </w:rPr>
                <w:t>5.1.1</w:t>
              </w:r>
              <w:r>
                <w:rPr>
                  <w:rFonts w:hint="eastAsia" w:eastAsiaTheme="minorEastAsia"/>
                  <w:iCs w:val="0"/>
                  <w:sz w:val="22"/>
                  <w:szCs w:val="24"/>
                  <w14:ligatures w14:val="standardContextual"/>
                </w:rPr>
                <w:tab/>
              </w:r>
              <w:r>
                <w:rPr>
                  <w:rStyle w:val="30"/>
                  <w:rFonts w:hint="eastAsia" w:ascii="宋体" w:hAnsi="宋体" w:eastAsia="宋体" w:cs="宋体"/>
                </w:rPr>
                <w:t>水性涂料替代技术</w:t>
              </w:r>
              <w:r>
                <w:rPr>
                  <w:rFonts w:hint="eastAsia"/>
                </w:rPr>
                <w:tab/>
              </w:r>
              <w:r>
                <w:rPr>
                  <w:rFonts w:hint="eastAsia"/>
                </w:rPr>
                <w:fldChar w:fldCharType="begin"/>
              </w:r>
              <w:r>
                <w:rPr>
                  <w:rFonts w:hint="eastAsia"/>
                </w:rPr>
                <w:instrText xml:space="preserve"> </w:instrText>
              </w:r>
              <w:r>
                <w:instrText xml:space="preserve">PAGEREF _Toc226540425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"_Toc226540426" </w:instrText>
              </w:r>
              <w:r>
                <w:fldChar w:fldCharType="separate"/>
              </w:r>
              <w:r>
                <w:rPr>
                  <w:rStyle w:val="30"/>
                  <w:rFonts w:hint="eastAsia"/>
                </w:rPr>
                <w:t>5.1.2</w:t>
              </w:r>
              <w:r>
                <w:rPr>
                  <w:rFonts w:hint="eastAsia" w:eastAsiaTheme="minorEastAsia"/>
                  <w:iCs w:val="0"/>
                  <w:sz w:val="22"/>
                  <w:szCs w:val="24"/>
                  <w14:ligatures w14:val="standardContextual"/>
                </w:rPr>
                <w:tab/>
              </w:r>
              <w:r>
                <w:rPr>
                  <w:rStyle w:val="30"/>
                  <w:rFonts w:hint="eastAsia" w:ascii="宋体" w:hAnsi="宋体" w:eastAsia="宋体" w:cs="宋体"/>
                </w:rPr>
                <w:t>水性清洗溶剂替代技术</w:t>
              </w:r>
              <w:r>
                <w:rPr>
                  <w:rFonts w:hint="eastAsia"/>
                </w:rPr>
                <w:tab/>
              </w:r>
              <w:r>
                <w:rPr>
                  <w:rFonts w:hint="eastAsia"/>
                </w:rPr>
                <w:fldChar w:fldCharType="begin"/>
              </w:r>
              <w:r>
                <w:rPr>
                  <w:rFonts w:hint="eastAsia"/>
                </w:rPr>
                <w:instrText xml:space="preserve"> </w:instrText>
              </w:r>
              <w:r>
                <w:instrText xml:space="preserve">PAGEREF _Toc226540426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"_Toc226540427" </w:instrText>
              </w:r>
              <w:r>
                <w:fldChar w:fldCharType="separate"/>
              </w:r>
              <w:r>
                <w:rPr>
                  <w:rStyle w:val="30"/>
                  <w:rFonts w:hint="eastAsia"/>
                </w:rPr>
                <w:t>5.1.3</w:t>
              </w:r>
              <w:r>
                <w:rPr>
                  <w:rFonts w:hint="eastAsia" w:eastAsiaTheme="minorEastAsia"/>
                  <w:iCs w:val="0"/>
                  <w:sz w:val="22"/>
                  <w:szCs w:val="24"/>
                  <w14:ligatures w14:val="standardContextual"/>
                </w:rPr>
                <w:tab/>
              </w:r>
              <w:r>
                <w:rPr>
                  <w:rStyle w:val="30"/>
                  <w:rFonts w:hint="eastAsia" w:ascii="宋体" w:hAnsi="宋体" w:eastAsia="宋体" w:cs="宋体"/>
                </w:rPr>
                <w:t>高固体分溶剂型涂料替代技术</w:t>
              </w:r>
              <w:r>
                <w:rPr>
                  <w:rFonts w:hint="eastAsia"/>
                </w:rPr>
                <w:tab/>
              </w:r>
              <w:r>
                <w:rPr>
                  <w:rFonts w:hint="eastAsia"/>
                </w:rPr>
                <w:fldChar w:fldCharType="begin"/>
              </w:r>
              <w:r>
                <w:rPr>
                  <w:rFonts w:hint="eastAsia"/>
                </w:rPr>
                <w:instrText xml:space="preserve"> </w:instrText>
              </w:r>
              <w:r>
                <w:instrText xml:space="preserve">PAGEREF _Toc226540427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"_Toc226540428" </w:instrText>
              </w:r>
              <w:r>
                <w:fldChar w:fldCharType="separate"/>
              </w:r>
              <w:r>
                <w:rPr>
                  <w:rStyle w:val="30"/>
                  <w:rFonts w:hint="eastAsia"/>
                </w:rPr>
                <w:t>5.2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污染治理技术</w:t>
              </w:r>
              <w:r>
                <w:rPr>
                  <w:rFonts w:hint="eastAsia"/>
                </w:rPr>
                <w:tab/>
              </w:r>
              <w:r>
                <w:rPr>
                  <w:rFonts w:hint="eastAsia"/>
                </w:rPr>
                <w:fldChar w:fldCharType="begin"/>
              </w:r>
              <w:r>
                <w:rPr>
                  <w:rFonts w:hint="eastAsia"/>
                </w:rPr>
                <w:instrText xml:space="preserve"> </w:instrText>
              </w:r>
              <w:r>
                <w:instrText xml:space="preserve">PAGEREF _Toc226540428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"_Toc226540429" </w:instrText>
              </w:r>
              <w:r>
                <w:fldChar w:fldCharType="separate"/>
              </w:r>
              <w:r>
                <w:rPr>
                  <w:rStyle w:val="30"/>
                  <w:rFonts w:hint="eastAsia"/>
                </w:rPr>
                <w:t>5.2.1</w:t>
              </w:r>
              <w:r>
                <w:rPr>
                  <w:rFonts w:hint="eastAsia" w:eastAsiaTheme="minorEastAsia"/>
                  <w:iCs w:val="0"/>
                  <w:sz w:val="22"/>
                  <w:szCs w:val="24"/>
                  <w14:ligatures w14:val="standardContextual"/>
                </w:rPr>
                <w:tab/>
              </w:r>
              <w:r>
                <w:rPr>
                  <w:rStyle w:val="30"/>
                  <w:rFonts w:hint="eastAsia" w:ascii="宋体" w:hAnsi="宋体" w:eastAsia="宋体" w:cs="宋体"/>
                </w:rPr>
                <w:t>漆雾处理技术</w:t>
              </w:r>
              <w:r>
                <w:rPr>
                  <w:rFonts w:hint="eastAsia"/>
                </w:rPr>
                <w:tab/>
              </w:r>
              <w:r>
                <w:rPr>
                  <w:rFonts w:hint="eastAsia"/>
                </w:rPr>
                <w:fldChar w:fldCharType="begin"/>
              </w:r>
              <w:r>
                <w:rPr>
                  <w:rFonts w:hint="eastAsia"/>
                </w:rPr>
                <w:instrText xml:space="preserve"> </w:instrText>
              </w:r>
              <w:r>
                <w:instrText xml:space="preserve">PAGEREF _Toc226540429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"_Toc226540430" </w:instrText>
              </w:r>
              <w:r>
                <w:fldChar w:fldCharType="separate"/>
              </w:r>
              <w:r>
                <w:rPr>
                  <w:rStyle w:val="30"/>
                  <w:rFonts w:hint="eastAsia"/>
                </w:rPr>
                <w:t>5.2.2</w:t>
              </w:r>
              <w:r>
                <w:rPr>
                  <w:rFonts w:hint="eastAsia" w:eastAsiaTheme="minorEastAsia"/>
                  <w:iCs w:val="0"/>
                  <w:sz w:val="22"/>
                  <w:szCs w:val="24"/>
                  <w14:ligatures w14:val="standardContextual"/>
                </w:rPr>
                <w:tab/>
              </w:r>
              <w:r>
                <w:rPr>
                  <w:rStyle w:val="30"/>
                  <w:rFonts w:hint="eastAsia" w:ascii="宋体" w:hAnsi="宋体" w:eastAsia="宋体" w:cs="宋体"/>
                </w:rPr>
                <w:t>喷涂</w:t>
              </w:r>
              <w:r>
                <w:rPr>
                  <w:rStyle w:val="30"/>
                  <w:rFonts w:hint="eastAsia"/>
                </w:rPr>
                <w:t>VOCs</w:t>
              </w:r>
              <w:r>
                <w:rPr>
                  <w:rStyle w:val="30"/>
                  <w:rFonts w:hint="eastAsia" w:ascii="宋体" w:hAnsi="宋体" w:eastAsia="宋体" w:cs="宋体"/>
                </w:rPr>
                <w:t>治理技术</w:t>
              </w:r>
              <w:r>
                <w:rPr>
                  <w:rFonts w:hint="eastAsia"/>
                </w:rPr>
                <w:tab/>
              </w:r>
              <w:r>
                <w:rPr>
                  <w:rFonts w:hint="eastAsia"/>
                </w:rPr>
                <w:fldChar w:fldCharType="begin"/>
              </w:r>
              <w:r>
                <w:rPr>
                  <w:rFonts w:hint="eastAsia"/>
                </w:rPr>
                <w:instrText xml:space="preserve"> </w:instrText>
              </w:r>
              <w:r>
                <w:instrText xml:space="preserve">PAGEREF _Toc226540430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"_Toc226540431" </w:instrText>
              </w:r>
              <w:r>
                <w:fldChar w:fldCharType="separate"/>
              </w:r>
              <w:r>
                <w:rPr>
                  <w:rStyle w:val="30"/>
                  <w:rFonts w:hint="eastAsia" w:ascii="宋体" w:hAnsi="宋体" w:eastAsia="宋体" w:cs="宋体"/>
                </w:rPr>
                <w:t>（</w:t>
              </w:r>
              <w:r>
                <w:rPr>
                  <w:rStyle w:val="30"/>
                  <w:rFonts w:hint="eastAsia"/>
                </w:rPr>
                <w:t>1</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吸附法</w:t>
              </w:r>
              <w:r>
                <w:rPr>
                  <w:rFonts w:hint="eastAsia"/>
                </w:rPr>
                <w:tab/>
              </w:r>
              <w:r>
                <w:rPr>
                  <w:rFonts w:hint="eastAsia"/>
                </w:rPr>
                <w:fldChar w:fldCharType="begin"/>
              </w:r>
              <w:r>
                <w:rPr>
                  <w:rFonts w:hint="eastAsia"/>
                </w:rPr>
                <w:instrText xml:space="preserve"> </w:instrText>
              </w:r>
              <w:r>
                <w:instrText xml:space="preserve">PAGEREF _Toc226540431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"_Toc226540432" </w:instrText>
              </w:r>
              <w:r>
                <w:fldChar w:fldCharType="separate"/>
              </w:r>
              <w:r>
                <w:rPr>
                  <w:rStyle w:val="30"/>
                  <w:rFonts w:hint="eastAsia" w:ascii="宋体" w:hAnsi="宋体" w:eastAsia="宋体" w:cs="宋体"/>
                </w:rPr>
                <w:t>（</w:t>
              </w:r>
              <w:r>
                <w:rPr>
                  <w:rStyle w:val="30"/>
                  <w:rFonts w:hint="eastAsia"/>
                </w:rPr>
                <w:t>2</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热力燃烧法</w:t>
              </w:r>
              <w:r>
                <w:rPr>
                  <w:rFonts w:hint="eastAsia"/>
                </w:rPr>
                <w:tab/>
              </w:r>
              <w:r>
                <w:rPr>
                  <w:rFonts w:hint="eastAsia"/>
                </w:rPr>
                <w:fldChar w:fldCharType="begin"/>
              </w:r>
              <w:r>
                <w:rPr>
                  <w:rFonts w:hint="eastAsia"/>
                </w:rPr>
                <w:instrText xml:space="preserve"> </w:instrText>
              </w:r>
              <w:r>
                <w:instrText xml:space="preserve">PAGEREF _Toc226540432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"_Toc226540433" </w:instrText>
              </w:r>
              <w:r>
                <w:fldChar w:fldCharType="separate"/>
              </w:r>
              <w:r>
                <w:rPr>
                  <w:rStyle w:val="30"/>
                  <w:rFonts w:hint="eastAsia" w:ascii="宋体" w:hAnsi="宋体" w:eastAsia="宋体" w:cs="宋体"/>
                </w:rPr>
                <w:t>（</w:t>
              </w:r>
              <w:r>
                <w:rPr>
                  <w:rStyle w:val="30"/>
                  <w:rFonts w:hint="eastAsia"/>
                </w:rPr>
                <w:t>3</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催化燃烧法</w:t>
              </w:r>
              <w:r>
                <w:rPr>
                  <w:rFonts w:hint="eastAsia"/>
                </w:rPr>
                <w:tab/>
              </w:r>
              <w:r>
                <w:rPr>
                  <w:rFonts w:hint="eastAsia"/>
                </w:rPr>
                <w:fldChar w:fldCharType="begin"/>
              </w:r>
              <w:r>
                <w:rPr>
                  <w:rFonts w:hint="eastAsia"/>
                </w:rPr>
                <w:instrText xml:space="preserve"> </w:instrText>
              </w:r>
              <w:r>
                <w:instrText xml:space="preserve">PAGEREF _Toc226540433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"_Toc226540434" </w:instrText>
              </w:r>
              <w:r>
                <w:fldChar w:fldCharType="separate"/>
              </w:r>
              <w:r>
                <w:rPr>
                  <w:rStyle w:val="30"/>
                  <w:rFonts w:hint="eastAsia" w:ascii="宋体" w:hAnsi="宋体" w:eastAsia="宋体" w:cs="宋体"/>
                </w:rPr>
                <w:t>（</w:t>
              </w:r>
              <w:r>
                <w:rPr>
                  <w:rStyle w:val="30"/>
                  <w:rFonts w:hint="eastAsia"/>
                </w:rPr>
                <w:t>4</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蓄热燃烧法</w:t>
              </w:r>
              <w:r>
                <w:rPr>
                  <w:rFonts w:hint="eastAsia"/>
                </w:rPr>
                <w:tab/>
              </w:r>
              <w:r>
                <w:rPr>
                  <w:rFonts w:hint="eastAsia"/>
                </w:rPr>
                <w:fldChar w:fldCharType="begin"/>
              </w:r>
              <w:r>
                <w:rPr>
                  <w:rFonts w:hint="eastAsia"/>
                </w:rPr>
                <w:instrText xml:space="preserve"> </w:instrText>
              </w:r>
              <w:r>
                <w:instrText xml:space="preserve">PAGEREF _Toc226540434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"_Toc226540435" </w:instrText>
              </w:r>
              <w:r>
                <w:fldChar w:fldCharType="separate"/>
              </w:r>
              <w:r>
                <w:rPr>
                  <w:rStyle w:val="30"/>
                  <w:rFonts w:hint="eastAsia" w:ascii="宋体" w:hAnsi="宋体" w:eastAsia="宋体" w:cs="宋体"/>
                </w:rPr>
                <w:t>（</w:t>
              </w:r>
              <w:r>
                <w:rPr>
                  <w:rStyle w:val="30"/>
                  <w:rFonts w:hint="eastAsia"/>
                </w:rPr>
                <w:t>5</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活性炭吸附脱附</w:t>
              </w:r>
              <w:r>
                <w:rPr>
                  <w:rStyle w:val="30"/>
                  <w:rFonts w:hint="eastAsia"/>
                </w:rPr>
                <w:t>+</w:t>
              </w:r>
              <w:r>
                <w:rPr>
                  <w:rStyle w:val="30"/>
                  <w:rFonts w:hint="eastAsia" w:ascii="宋体" w:hAnsi="宋体" w:eastAsia="宋体" w:cs="宋体"/>
                </w:rPr>
                <w:t>催化氧化</w:t>
              </w:r>
              <w:r>
                <w:rPr>
                  <w:rFonts w:hint="eastAsia"/>
                </w:rPr>
                <w:tab/>
              </w:r>
              <w:r>
                <w:rPr>
                  <w:rFonts w:hint="eastAsia"/>
                </w:rPr>
                <w:fldChar w:fldCharType="begin"/>
              </w:r>
              <w:r>
                <w:rPr>
                  <w:rFonts w:hint="eastAsia"/>
                </w:rPr>
                <w:instrText xml:space="preserve"> </w:instrText>
              </w:r>
              <w:r>
                <w:instrText xml:space="preserve">PAGEREF _Toc226540435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pPr>
                <w:pStyle w:val="24"/>
                <w:tabs>
                  <w:tab w:val="left" w:pos="1920"/>
                  <w:tab w:val="right" w:leader="dot" w:pos="8296"/>
                </w:tabs>
                <w:ind w:firstLine="420"/>
                <w:rPr>
                  <w:rFonts w:eastAsiaTheme="minorEastAsia"/>
                  <w:sz w:val="22"/>
                  <w:szCs w:val="24"/>
                  <w14:ligatures w14:val="standardContextual"/>
                </w:rPr>
              </w:pPr>
              <w:r>
                <w:fldChar w:fldCharType="begin"/>
              </w:r>
              <w:r>
                <w:instrText xml:space="preserve"> HYPERLINK \l "_Toc226540436" </w:instrText>
              </w:r>
              <w:r>
                <w:fldChar w:fldCharType="separate"/>
              </w:r>
              <w:r>
                <w:rPr>
                  <w:rStyle w:val="30"/>
                  <w:rFonts w:hint="eastAsia" w:ascii="宋体" w:hAnsi="宋体" w:eastAsia="宋体" w:cs="宋体"/>
                </w:rPr>
                <w:t>（</w:t>
              </w:r>
              <w:r>
                <w:rPr>
                  <w:rStyle w:val="30"/>
                  <w:rFonts w:hint="eastAsia"/>
                </w:rPr>
                <w:t>6</w:t>
              </w:r>
              <w:r>
                <w:rPr>
                  <w:rStyle w:val="30"/>
                  <w:rFonts w:hint="eastAsia" w:ascii="宋体" w:hAnsi="宋体" w:eastAsia="宋体" w:cs="宋体"/>
                </w:rPr>
                <w:t>）</w:t>
              </w:r>
              <w:r>
                <w:rPr>
                  <w:rFonts w:hint="eastAsia" w:eastAsiaTheme="minorEastAsia"/>
                  <w:sz w:val="22"/>
                  <w:szCs w:val="24"/>
                  <w14:ligatures w14:val="standardContextual"/>
                </w:rPr>
                <w:tab/>
              </w:r>
              <w:r>
                <w:rPr>
                  <w:rStyle w:val="30"/>
                  <w:rFonts w:hint="eastAsia" w:ascii="宋体" w:hAnsi="宋体" w:eastAsia="宋体" w:cs="宋体"/>
                </w:rPr>
                <w:t>吸附浓缩</w:t>
              </w:r>
              <w:r>
                <w:rPr>
                  <w:rStyle w:val="30"/>
                  <w:rFonts w:hint="eastAsia"/>
                </w:rPr>
                <w:t>+</w:t>
              </w:r>
              <w:r>
                <w:rPr>
                  <w:rStyle w:val="30"/>
                  <w:rFonts w:hint="eastAsia" w:ascii="宋体" w:hAnsi="宋体" w:eastAsia="宋体" w:cs="宋体"/>
                </w:rPr>
                <w:t>燃烧</w:t>
              </w:r>
              <w:r>
                <w:rPr>
                  <w:rFonts w:hint="eastAsia"/>
                </w:rPr>
                <w:tab/>
              </w:r>
              <w:r>
                <w:rPr>
                  <w:rFonts w:hint="eastAsia"/>
                </w:rPr>
                <w:fldChar w:fldCharType="begin"/>
              </w:r>
              <w:r>
                <w:rPr>
                  <w:rFonts w:hint="eastAsia"/>
                </w:rPr>
                <w:instrText xml:space="preserve"> </w:instrText>
              </w:r>
              <w:r>
                <w:instrText xml:space="preserve">PAGEREF _Toc226540436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"_Toc226540437" </w:instrText>
              </w:r>
              <w:r>
                <w:fldChar w:fldCharType="separate"/>
              </w:r>
              <w:r>
                <w:rPr>
                  <w:rStyle w:val="30"/>
                  <w:rFonts w:hint="eastAsia"/>
                </w:rPr>
                <w:t>5.3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无组织排放控制措施</w:t>
              </w:r>
              <w:r>
                <w:rPr>
                  <w:rFonts w:hint="eastAsia"/>
                </w:rPr>
                <w:tab/>
              </w:r>
              <w:r>
                <w:rPr>
                  <w:rFonts w:hint="eastAsia"/>
                </w:rPr>
                <w:fldChar w:fldCharType="begin"/>
              </w:r>
              <w:r>
                <w:rPr>
                  <w:rFonts w:hint="eastAsia"/>
                </w:rPr>
                <w:instrText xml:space="preserve"> </w:instrText>
              </w:r>
              <w:r>
                <w:instrText xml:space="preserve">PAGEREF _Toc226540437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"_Toc226540438" </w:instrText>
              </w:r>
              <w:r>
                <w:fldChar w:fldCharType="separate"/>
              </w:r>
              <w:r>
                <w:rPr>
                  <w:rStyle w:val="30"/>
                  <w:rFonts w:hint="eastAsia"/>
                </w:rPr>
                <w:t>5.3.1</w:t>
              </w:r>
              <w:r>
                <w:rPr>
                  <w:rFonts w:hint="eastAsia" w:eastAsiaTheme="minorEastAsia"/>
                  <w:iCs w:val="0"/>
                  <w:sz w:val="22"/>
                  <w:szCs w:val="24"/>
                  <w14:ligatures w14:val="standardContextual"/>
                </w:rPr>
                <w:tab/>
              </w:r>
              <w:r>
                <w:rPr>
                  <w:rStyle w:val="30"/>
                  <w:rFonts w:hint="eastAsia" w:ascii="宋体" w:hAnsi="宋体" w:eastAsia="宋体" w:cs="宋体"/>
                </w:rPr>
                <w:t>物料储存、运输</w:t>
              </w:r>
              <w:r>
                <w:rPr>
                  <w:rFonts w:hint="eastAsia"/>
                </w:rPr>
                <w:tab/>
              </w:r>
              <w:r>
                <w:rPr>
                  <w:rFonts w:hint="eastAsia"/>
                </w:rPr>
                <w:fldChar w:fldCharType="begin"/>
              </w:r>
              <w:r>
                <w:rPr>
                  <w:rFonts w:hint="eastAsia"/>
                </w:rPr>
                <w:instrText xml:space="preserve"> </w:instrText>
              </w:r>
              <w:r>
                <w:instrText xml:space="preserve">PAGEREF _Toc226540438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"_Toc226540439" </w:instrText>
              </w:r>
              <w:r>
                <w:fldChar w:fldCharType="separate"/>
              </w:r>
              <w:r>
                <w:rPr>
                  <w:rStyle w:val="30"/>
                  <w:rFonts w:hint="eastAsia"/>
                </w:rPr>
                <w:t>5.3.2</w:t>
              </w:r>
              <w:r>
                <w:rPr>
                  <w:rFonts w:hint="eastAsia" w:eastAsiaTheme="minorEastAsia"/>
                  <w:iCs w:val="0"/>
                  <w:sz w:val="22"/>
                  <w:szCs w:val="24"/>
                  <w14:ligatures w14:val="standardContextual"/>
                </w:rPr>
                <w:tab/>
              </w:r>
              <w:r>
                <w:rPr>
                  <w:rStyle w:val="30"/>
                  <w:rFonts w:hint="eastAsia" w:ascii="宋体" w:hAnsi="宋体" w:eastAsia="宋体" w:cs="宋体"/>
                </w:rPr>
                <w:t>表面处理</w:t>
              </w:r>
              <w:r>
                <w:rPr>
                  <w:rFonts w:hint="eastAsia"/>
                </w:rPr>
                <w:tab/>
              </w:r>
              <w:r>
                <w:rPr>
                  <w:rFonts w:hint="eastAsia"/>
                </w:rPr>
                <w:fldChar w:fldCharType="begin"/>
              </w:r>
              <w:r>
                <w:rPr>
                  <w:rFonts w:hint="eastAsia"/>
                </w:rPr>
                <w:instrText xml:space="preserve"> </w:instrText>
              </w:r>
              <w:r>
                <w:instrText xml:space="preserve">PAGEREF _Toc226540439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"_Toc226540440" </w:instrText>
              </w:r>
              <w:r>
                <w:fldChar w:fldCharType="separate"/>
              </w:r>
              <w:r>
                <w:rPr>
                  <w:rStyle w:val="30"/>
                  <w:rFonts w:hint="eastAsia"/>
                </w:rPr>
                <w:t>5.3.3</w:t>
              </w:r>
              <w:r>
                <w:rPr>
                  <w:rFonts w:hint="eastAsia" w:eastAsiaTheme="minorEastAsia"/>
                  <w:iCs w:val="0"/>
                  <w:sz w:val="22"/>
                  <w:szCs w:val="24"/>
                  <w14:ligatures w14:val="standardContextual"/>
                </w:rPr>
                <w:tab/>
              </w:r>
              <w:r>
                <w:rPr>
                  <w:rStyle w:val="30"/>
                  <w:rFonts w:hint="eastAsia" w:ascii="宋体" w:hAnsi="宋体" w:eastAsia="宋体" w:cs="宋体"/>
                </w:rPr>
                <w:t>调漆</w:t>
              </w:r>
              <w:r>
                <w:rPr>
                  <w:rFonts w:hint="eastAsia"/>
                </w:rPr>
                <w:tab/>
              </w:r>
              <w:r>
                <w:rPr>
                  <w:rFonts w:hint="eastAsia"/>
                </w:rPr>
                <w:fldChar w:fldCharType="begin"/>
              </w:r>
              <w:r>
                <w:rPr>
                  <w:rFonts w:hint="eastAsia"/>
                </w:rPr>
                <w:instrText xml:space="preserve"> </w:instrText>
              </w:r>
              <w:r>
                <w:instrText xml:space="preserve">PAGEREF _Toc226540440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"_Toc226540441" </w:instrText>
              </w:r>
              <w:r>
                <w:fldChar w:fldCharType="separate"/>
              </w:r>
              <w:r>
                <w:rPr>
                  <w:rStyle w:val="30"/>
                  <w:rFonts w:hint="eastAsia"/>
                </w:rPr>
                <w:t>5.3.4</w:t>
              </w:r>
              <w:r>
                <w:rPr>
                  <w:rFonts w:hint="eastAsia" w:eastAsiaTheme="minorEastAsia"/>
                  <w:iCs w:val="0"/>
                  <w:sz w:val="22"/>
                  <w:szCs w:val="24"/>
                  <w14:ligatures w14:val="standardContextual"/>
                </w:rPr>
                <w:tab/>
              </w:r>
              <w:r>
                <w:rPr>
                  <w:rStyle w:val="30"/>
                  <w:rFonts w:hint="eastAsia" w:ascii="宋体" w:hAnsi="宋体" w:eastAsia="宋体" w:cs="宋体"/>
                </w:rPr>
                <w:t>喷烤漆</w:t>
              </w:r>
              <w:r>
                <w:rPr>
                  <w:rFonts w:hint="eastAsia"/>
                </w:rPr>
                <w:tab/>
              </w:r>
              <w:r>
                <w:rPr>
                  <w:rFonts w:hint="eastAsia"/>
                </w:rPr>
                <w:fldChar w:fldCharType="begin"/>
              </w:r>
              <w:r>
                <w:rPr>
                  <w:rFonts w:hint="eastAsia"/>
                </w:rPr>
                <w:instrText xml:space="preserve"> </w:instrText>
              </w:r>
              <w:r>
                <w:instrText xml:space="preserve">PAGEREF _Toc226540441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"_Toc226540442" </w:instrText>
              </w:r>
              <w:r>
                <w:fldChar w:fldCharType="separate"/>
              </w:r>
              <w:r>
                <w:rPr>
                  <w:rStyle w:val="30"/>
                  <w:rFonts w:hint="eastAsia"/>
                </w:rPr>
                <w:t>5.3.5</w:t>
              </w:r>
              <w:r>
                <w:rPr>
                  <w:rFonts w:hint="eastAsia" w:eastAsiaTheme="minorEastAsia"/>
                  <w:iCs w:val="0"/>
                  <w:sz w:val="22"/>
                  <w:szCs w:val="24"/>
                  <w14:ligatures w14:val="standardContextual"/>
                </w:rPr>
                <w:tab/>
              </w:r>
              <w:r>
                <w:rPr>
                  <w:rStyle w:val="30"/>
                  <w:rFonts w:hint="eastAsia" w:ascii="宋体" w:hAnsi="宋体" w:eastAsia="宋体" w:cs="宋体"/>
                </w:rPr>
                <w:t>清洗</w:t>
              </w:r>
              <w:r>
                <w:rPr>
                  <w:rFonts w:hint="eastAsia"/>
                </w:rPr>
                <w:tab/>
              </w:r>
              <w:r>
                <w:rPr>
                  <w:rFonts w:hint="eastAsia"/>
                </w:rPr>
                <w:fldChar w:fldCharType="begin"/>
              </w:r>
              <w:r>
                <w:rPr>
                  <w:rFonts w:hint="eastAsia"/>
                </w:rPr>
                <w:instrText xml:space="preserve"> </w:instrText>
              </w:r>
              <w:r>
                <w:instrText xml:space="preserve">PAGEREF _Toc226540442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"_Toc226540443" </w:instrText>
              </w:r>
              <w:r>
                <w:fldChar w:fldCharType="separate"/>
              </w:r>
              <w:r>
                <w:rPr>
                  <w:rStyle w:val="30"/>
                  <w:rFonts w:hint="eastAsia"/>
                </w:rPr>
                <w:t>6</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重庆市汽车维修行业排放现状</w:t>
              </w:r>
              <w:r>
                <w:rPr>
                  <w:rFonts w:hint="eastAsia"/>
                </w:rPr>
                <w:tab/>
              </w:r>
              <w:r>
                <w:rPr>
                  <w:rFonts w:hint="eastAsia"/>
                </w:rPr>
                <w:fldChar w:fldCharType="begin"/>
              </w:r>
              <w:r>
                <w:rPr>
                  <w:rFonts w:hint="eastAsia"/>
                </w:rPr>
                <w:instrText xml:space="preserve"> </w:instrText>
              </w:r>
              <w:r>
                <w:instrText xml:space="preserve">PAGEREF _Toc226540443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"_Toc226540444" </w:instrText>
              </w:r>
              <w:r>
                <w:fldChar w:fldCharType="separate"/>
              </w:r>
              <w:r>
                <w:rPr>
                  <w:rStyle w:val="30"/>
                  <w:rFonts w:hint="eastAsia"/>
                </w:rPr>
                <w:t>6.1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行业现状</w:t>
              </w:r>
              <w:r>
                <w:rPr>
                  <w:rFonts w:hint="eastAsia"/>
                </w:rPr>
                <w:tab/>
              </w:r>
              <w:r>
                <w:rPr>
                  <w:rFonts w:hint="eastAsia"/>
                </w:rPr>
                <w:fldChar w:fldCharType="begin"/>
              </w:r>
              <w:r>
                <w:rPr>
                  <w:rFonts w:hint="eastAsia"/>
                </w:rPr>
                <w:instrText xml:space="preserve"> </w:instrText>
              </w:r>
              <w:r>
                <w:instrText xml:space="preserve">PAGEREF _Toc226540444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"_Toc226540445" </w:instrText>
              </w:r>
              <w:r>
                <w:fldChar w:fldCharType="separate"/>
              </w:r>
              <w:r>
                <w:rPr>
                  <w:rStyle w:val="30"/>
                  <w:rFonts w:hint="eastAsia"/>
                </w:rPr>
                <w:t>6.1.1</w:t>
              </w:r>
              <w:r>
                <w:rPr>
                  <w:rFonts w:hint="eastAsia" w:eastAsiaTheme="minorEastAsia"/>
                  <w:iCs w:val="0"/>
                  <w:sz w:val="22"/>
                  <w:szCs w:val="24"/>
                  <w14:ligatures w14:val="standardContextual"/>
                </w:rPr>
                <w:tab/>
              </w:r>
              <w:r>
                <w:rPr>
                  <w:rStyle w:val="30"/>
                  <w:rFonts w:hint="eastAsia" w:ascii="宋体" w:hAnsi="宋体" w:eastAsia="宋体" w:cs="宋体"/>
                </w:rPr>
                <w:t>行业定义</w:t>
              </w:r>
              <w:r>
                <w:rPr>
                  <w:rFonts w:hint="eastAsia"/>
                </w:rPr>
                <w:tab/>
              </w:r>
              <w:r>
                <w:rPr>
                  <w:rFonts w:hint="eastAsia"/>
                </w:rPr>
                <w:fldChar w:fldCharType="begin"/>
              </w:r>
              <w:r>
                <w:rPr>
                  <w:rFonts w:hint="eastAsia"/>
                </w:rPr>
                <w:instrText xml:space="preserve"> </w:instrText>
              </w:r>
              <w:r>
                <w:instrText xml:space="preserve">PAGEREF _Toc226540445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"_Toc226540446" </w:instrText>
              </w:r>
              <w:r>
                <w:fldChar w:fldCharType="separate"/>
              </w:r>
              <w:r>
                <w:rPr>
                  <w:rStyle w:val="30"/>
                  <w:rFonts w:hint="eastAsia"/>
                </w:rPr>
                <w:t>6.1.2</w:t>
              </w:r>
              <w:r>
                <w:rPr>
                  <w:rFonts w:hint="eastAsia" w:eastAsiaTheme="minorEastAsia"/>
                  <w:iCs w:val="0"/>
                  <w:sz w:val="22"/>
                  <w:szCs w:val="24"/>
                  <w14:ligatures w14:val="standardContextual"/>
                </w:rPr>
                <w:tab/>
              </w:r>
              <w:r>
                <w:rPr>
                  <w:rStyle w:val="30"/>
                  <w:rFonts w:hint="eastAsia" w:ascii="宋体" w:hAnsi="宋体" w:eastAsia="宋体" w:cs="宋体"/>
                </w:rPr>
                <w:t>发展现状</w:t>
              </w:r>
              <w:r>
                <w:rPr>
                  <w:rFonts w:hint="eastAsia"/>
                </w:rPr>
                <w:tab/>
              </w:r>
              <w:r>
                <w:rPr>
                  <w:rFonts w:hint="eastAsia"/>
                </w:rPr>
                <w:fldChar w:fldCharType="begin"/>
              </w:r>
              <w:r>
                <w:rPr>
                  <w:rFonts w:hint="eastAsia"/>
                </w:rPr>
                <w:instrText xml:space="preserve"> </w:instrText>
              </w:r>
              <w:r>
                <w:instrText xml:space="preserve">PAGEREF _Toc226540446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"_Toc226540447" </w:instrText>
              </w:r>
              <w:r>
                <w:fldChar w:fldCharType="separate"/>
              </w:r>
              <w:r>
                <w:rPr>
                  <w:rStyle w:val="30"/>
                  <w:rFonts w:hint="eastAsia"/>
                </w:rPr>
                <w:t>6.1.3</w:t>
              </w:r>
              <w:r>
                <w:rPr>
                  <w:rFonts w:hint="eastAsia" w:eastAsiaTheme="minorEastAsia"/>
                  <w:iCs w:val="0"/>
                  <w:sz w:val="22"/>
                  <w:szCs w:val="24"/>
                  <w14:ligatures w14:val="standardContextual"/>
                </w:rPr>
                <w:tab/>
              </w:r>
              <w:r>
                <w:rPr>
                  <w:rStyle w:val="30"/>
                  <w:rFonts w:hint="eastAsia" w:ascii="宋体" w:hAnsi="宋体" w:eastAsia="宋体" w:cs="宋体"/>
                </w:rPr>
                <w:t>企业数量及分布</w:t>
              </w:r>
              <w:r>
                <w:rPr>
                  <w:rFonts w:hint="eastAsia"/>
                </w:rPr>
                <w:tab/>
              </w:r>
              <w:r>
                <w:rPr>
                  <w:rFonts w:hint="eastAsia"/>
                </w:rPr>
                <w:fldChar w:fldCharType="begin"/>
              </w:r>
              <w:r>
                <w:rPr>
                  <w:rFonts w:hint="eastAsia"/>
                </w:rPr>
                <w:instrText xml:space="preserve"> </w:instrText>
              </w:r>
              <w:r>
                <w:instrText xml:space="preserve">PAGEREF _Toc226540447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"_Toc226540448" </w:instrText>
              </w:r>
              <w:r>
                <w:fldChar w:fldCharType="separate"/>
              </w:r>
              <w:r>
                <w:rPr>
                  <w:rStyle w:val="30"/>
                  <w:rFonts w:hint="eastAsia"/>
                </w:rPr>
                <w:t>6.2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汽车维修行业污染物排放现状</w:t>
              </w:r>
              <w:r>
                <w:rPr>
                  <w:rFonts w:hint="eastAsia"/>
                </w:rPr>
                <w:tab/>
              </w:r>
              <w:r>
                <w:rPr>
                  <w:rFonts w:hint="eastAsia"/>
                </w:rPr>
                <w:fldChar w:fldCharType="begin"/>
              </w:r>
              <w:r>
                <w:rPr>
                  <w:rFonts w:hint="eastAsia"/>
                </w:rPr>
                <w:instrText xml:space="preserve"> </w:instrText>
              </w:r>
              <w:r>
                <w:instrText xml:space="preserve">PAGEREF _Toc226540448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"_Toc226540449" </w:instrText>
              </w:r>
              <w:r>
                <w:fldChar w:fldCharType="separate"/>
              </w:r>
              <w:r>
                <w:rPr>
                  <w:rStyle w:val="30"/>
                  <w:rFonts w:hint="eastAsia"/>
                </w:rPr>
                <w:t>6.2.1</w:t>
              </w:r>
              <w:r>
                <w:rPr>
                  <w:rFonts w:hint="eastAsia" w:eastAsiaTheme="minorEastAsia"/>
                  <w:iCs w:val="0"/>
                  <w:sz w:val="22"/>
                  <w:szCs w:val="24"/>
                  <w14:ligatures w14:val="standardContextual"/>
                </w:rPr>
                <w:tab/>
              </w:r>
              <w:r>
                <w:rPr>
                  <w:rStyle w:val="30"/>
                  <w:rFonts w:hint="eastAsia" w:ascii="宋体" w:hAnsi="宋体" w:eastAsia="宋体" w:cs="宋体"/>
                </w:rPr>
                <w:t>重庆市汽车维修企业大气污染物排放量</w:t>
              </w:r>
              <w:r>
                <w:rPr>
                  <w:rFonts w:hint="eastAsia"/>
                </w:rPr>
                <w:tab/>
              </w:r>
              <w:r>
                <w:rPr>
                  <w:rFonts w:hint="eastAsia"/>
                </w:rPr>
                <w:fldChar w:fldCharType="begin"/>
              </w:r>
              <w:r>
                <w:rPr>
                  <w:rFonts w:hint="eastAsia"/>
                </w:rPr>
                <w:instrText xml:space="preserve"> </w:instrText>
              </w:r>
              <w:r>
                <w:instrText xml:space="preserve">PAGEREF _Toc226540449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"_Toc226540450" </w:instrText>
              </w:r>
              <w:r>
                <w:fldChar w:fldCharType="separate"/>
              </w:r>
              <w:r>
                <w:rPr>
                  <w:rStyle w:val="30"/>
                  <w:rFonts w:hint="eastAsia" w:ascii="宋体" w:hAnsi="宋体" w:eastAsia="宋体" w:cs="宋体"/>
                </w:rPr>
                <w:t>（</w:t>
              </w:r>
              <w:r>
                <w:rPr>
                  <w:rStyle w:val="30"/>
                  <w:rFonts w:hint="eastAsia" w:cs="Times New Roman"/>
                </w:rPr>
                <w:t>1</w:t>
              </w:r>
              <w:r>
                <w:rPr>
                  <w:rStyle w:val="30"/>
                  <w:rFonts w:hint="eastAsia" w:ascii="宋体" w:hAnsi="宋体" w:eastAsia="宋体" w:cs="宋体"/>
                </w:rPr>
                <w:t>）文献参考值</w:t>
              </w:r>
              <w:r>
                <w:rPr>
                  <w:rFonts w:hint="eastAsia"/>
                </w:rPr>
                <w:tab/>
              </w:r>
              <w:r>
                <w:rPr>
                  <w:rFonts w:hint="eastAsia"/>
                </w:rPr>
                <w:fldChar w:fldCharType="begin"/>
              </w:r>
              <w:r>
                <w:rPr>
                  <w:rFonts w:hint="eastAsia"/>
                </w:rPr>
                <w:instrText xml:space="preserve"> </w:instrText>
              </w:r>
              <w:r>
                <w:instrText xml:space="preserve">PAGEREF _Toc226540450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"_Toc226540451" </w:instrText>
              </w:r>
              <w:r>
                <w:fldChar w:fldCharType="separate"/>
              </w:r>
              <w:r>
                <w:rPr>
                  <w:rStyle w:val="30"/>
                  <w:rFonts w:hint="eastAsia" w:ascii="宋体" w:hAnsi="宋体" w:eastAsia="宋体" w:cs="宋体"/>
                </w:rPr>
                <w:t>（</w:t>
              </w:r>
              <w:r>
                <w:rPr>
                  <w:rStyle w:val="30"/>
                  <w:rFonts w:hint="eastAsia" w:cs="Times New Roman"/>
                </w:rPr>
                <w:t>2</w:t>
              </w:r>
              <w:r>
                <w:rPr>
                  <w:rStyle w:val="30"/>
                  <w:rFonts w:hint="eastAsia" w:ascii="宋体" w:hAnsi="宋体" w:eastAsia="宋体" w:cs="宋体"/>
                </w:rPr>
                <w:t>）烤灯汽修行业调研</w:t>
              </w:r>
              <w:r>
                <w:rPr>
                  <w:rFonts w:hint="eastAsia"/>
                </w:rPr>
                <w:tab/>
              </w:r>
              <w:r>
                <w:rPr>
                  <w:rFonts w:hint="eastAsia"/>
                </w:rPr>
                <w:fldChar w:fldCharType="begin"/>
              </w:r>
              <w:r>
                <w:rPr>
                  <w:rFonts w:hint="eastAsia"/>
                </w:rPr>
                <w:instrText xml:space="preserve"> </w:instrText>
              </w:r>
              <w:r>
                <w:instrText xml:space="preserve">PAGEREF _Toc226540451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"_Toc226540452" </w:instrText>
              </w:r>
              <w:r>
                <w:fldChar w:fldCharType="separate"/>
              </w:r>
              <w:r>
                <w:rPr>
                  <w:rStyle w:val="30"/>
                  <w:rFonts w:hint="eastAsia" w:ascii="宋体" w:hAnsi="宋体" w:eastAsia="宋体" w:cs="宋体"/>
                </w:rPr>
                <w:t>（</w:t>
              </w:r>
              <w:r>
                <w:rPr>
                  <w:rStyle w:val="30"/>
                  <w:rFonts w:hint="eastAsia" w:cs="Times New Roman"/>
                </w:rPr>
                <w:t>3</w:t>
              </w:r>
              <w:r>
                <w:rPr>
                  <w:rStyle w:val="30"/>
                  <w:rFonts w:hint="eastAsia" w:ascii="宋体" w:hAnsi="宋体" w:eastAsia="宋体" w:cs="宋体"/>
                </w:rPr>
                <w:t>）永川区众达城喷涂中心调研</w:t>
              </w:r>
              <w:r>
                <w:rPr>
                  <w:rFonts w:hint="eastAsia"/>
                </w:rPr>
                <w:tab/>
              </w:r>
              <w:r>
                <w:rPr>
                  <w:rFonts w:hint="eastAsia"/>
                </w:rPr>
                <w:fldChar w:fldCharType="begin"/>
              </w:r>
              <w:r>
                <w:rPr>
                  <w:rFonts w:hint="eastAsia"/>
                </w:rPr>
                <w:instrText xml:space="preserve"> </w:instrText>
              </w:r>
              <w:r>
                <w:instrText xml:space="preserve">PAGEREF _Toc226540452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"_Toc226540453" </w:instrText>
              </w:r>
              <w:r>
                <w:fldChar w:fldCharType="separate"/>
              </w:r>
              <w:r>
                <w:rPr>
                  <w:rStyle w:val="30"/>
                  <w:rFonts w:hint="eastAsia" w:ascii="宋体" w:hAnsi="宋体" w:eastAsia="宋体" w:cs="宋体"/>
                </w:rPr>
                <w:t>（</w:t>
              </w:r>
              <w:r>
                <w:rPr>
                  <w:rStyle w:val="30"/>
                  <w:rFonts w:hint="eastAsia" w:cs="Times New Roman"/>
                </w:rPr>
                <w:t>4</w:t>
              </w:r>
              <w:r>
                <w:rPr>
                  <w:rStyle w:val="30"/>
                  <w:rFonts w:hint="eastAsia" w:ascii="宋体" w:hAnsi="宋体" w:eastAsia="宋体" w:cs="宋体"/>
                </w:rPr>
                <w:t>）排放系数核定</w:t>
              </w:r>
              <w:r>
                <w:rPr>
                  <w:rFonts w:hint="eastAsia"/>
                </w:rPr>
                <w:tab/>
              </w:r>
              <w:r>
                <w:rPr>
                  <w:rFonts w:hint="eastAsia"/>
                </w:rPr>
                <w:fldChar w:fldCharType="begin"/>
              </w:r>
              <w:r>
                <w:rPr>
                  <w:rFonts w:hint="eastAsia"/>
                </w:rPr>
                <w:instrText xml:space="preserve"> </w:instrText>
              </w:r>
              <w:r>
                <w:instrText xml:space="preserve">PAGEREF _Toc226540453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"_Toc226540454" </w:instrText>
              </w:r>
              <w:r>
                <w:fldChar w:fldCharType="separate"/>
              </w:r>
              <w:r>
                <w:rPr>
                  <w:rStyle w:val="30"/>
                  <w:rFonts w:hint="eastAsia"/>
                </w:rPr>
                <w:t>6.2.2</w:t>
              </w:r>
              <w:r>
                <w:rPr>
                  <w:rFonts w:hint="eastAsia" w:eastAsiaTheme="minorEastAsia"/>
                  <w:iCs w:val="0"/>
                  <w:sz w:val="22"/>
                  <w:szCs w:val="24"/>
                  <w14:ligatures w14:val="standardContextual"/>
                </w:rPr>
                <w:tab/>
              </w:r>
              <w:r>
                <w:rPr>
                  <w:rStyle w:val="30"/>
                  <w:rFonts w:hint="eastAsia" w:ascii="宋体" w:hAnsi="宋体" w:eastAsia="宋体" w:cs="宋体"/>
                </w:rPr>
                <w:t>重庆市汽车维修企业大气污染物排放情况</w:t>
              </w:r>
              <w:r>
                <w:rPr>
                  <w:rFonts w:hint="eastAsia"/>
                </w:rPr>
                <w:tab/>
              </w:r>
              <w:r>
                <w:rPr>
                  <w:rFonts w:hint="eastAsia"/>
                </w:rPr>
                <w:fldChar w:fldCharType="begin"/>
              </w:r>
              <w:r>
                <w:rPr>
                  <w:rFonts w:hint="eastAsia"/>
                </w:rPr>
                <w:instrText xml:space="preserve"> </w:instrText>
              </w:r>
              <w:r>
                <w:instrText xml:space="preserve">PAGEREF _Toc226540454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"_Toc226540455" </w:instrText>
              </w:r>
              <w:r>
                <w:fldChar w:fldCharType="separate"/>
              </w:r>
              <w:r>
                <w:rPr>
                  <w:rStyle w:val="30"/>
                  <w:rFonts w:hint="eastAsia"/>
                </w:rPr>
                <w:t>6.3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汽车维修行业治理现状</w:t>
              </w:r>
              <w:r>
                <w:rPr>
                  <w:rFonts w:hint="eastAsia"/>
                </w:rPr>
                <w:tab/>
              </w:r>
              <w:r>
                <w:rPr>
                  <w:rFonts w:hint="eastAsia"/>
                </w:rPr>
                <w:fldChar w:fldCharType="begin"/>
              </w:r>
              <w:r>
                <w:rPr>
                  <w:rFonts w:hint="eastAsia"/>
                </w:rPr>
                <w:instrText xml:space="preserve"> </w:instrText>
              </w:r>
              <w:r>
                <w:instrText xml:space="preserve">PAGEREF _Toc226540455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"_Toc226540456" </w:instrText>
              </w:r>
              <w:r>
                <w:fldChar w:fldCharType="separate"/>
              </w:r>
              <w:r>
                <w:rPr>
                  <w:rStyle w:val="30"/>
                  <w:rFonts w:hint="eastAsia"/>
                </w:rPr>
                <w:t>6.3.1</w:t>
              </w:r>
              <w:r>
                <w:rPr>
                  <w:rFonts w:hint="eastAsia" w:eastAsiaTheme="minorEastAsia"/>
                  <w:iCs w:val="0"/>
                  <w:sz w:val="22"/>
                  <w:szCs w:val="24"/>
                  <w14:ligatures w14:val="standardContextual"/>
                </w:rPr>
                <w:tab/>
              </w:r>
              <w:r>
                <w:rPr>
                  <w:rStyle w:val="30"/>
                  <w:rFonts w:hint="eastAsia" w:ascii="宋体" w:hAnsi="宋体" w:eastAsia="宋体" w:cs="宋体"/>
                </w:rPr>
                <w:t>污染预防技术</w:t>
              </w:r>
              <w:r>
                <w:rPr>
                  <w:rFonts w:hint="eastAsia"/>
                </w:rPr>
                <w:tab/>
              </w:r>
              <w:r>
                <w:rPr>
                  <w:rFonts w:hint="eastAsia"/>
                </w:rPr>
                <w:fldChar w:fldCharType="begin"/>
              </w:r>
              <w:r>
                <w:rPr>
                  <w:rFonts w:hint="eastAsia"/>
                </w:rPr>
                <w:instrText xml:space="preserve"> </w:instrText>
              </w:r>
              <w:r>
                <w:instrText xml:space="preserve">PAGEREF _Toc226540456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"_Toc226540457" </w:instrText>
              </w:r>
              <w:r>
                <w:fldChar w:fldCharType="separate"/>
              </w:r>
              <w:r>
                <w:rPr>
                  <w:rStyle w:val="30"/>
                  <w:rFonts w:hint="eastAsia"/>
                </w:rPr>
                <w:t>6.3.2</w:t>
              </w:r>
              <w:r>
                <w:rPr>
                  <w:rFonts w:hint="eastAsia" w:eastAsiaTheme="minorEastAsia"/>
                  <w:iCs w:val="0"/>
                  <w:sz w:val="22"/>
                  <w:szCs w:val="24"/>
                  <w14:ligatures w14:val="standardContextual"/>
                </w:rPr>
                <w:tab/>
              </w:r>
              <w:r>
                <w:rPr>
                  <w:rStyle w:val="30"/>
                  <w:rFonts w:hint="eastAsia" w:ascii="宋体" w:hAnsi="宋体" w:eastAsia="宋体" w:cs="宋体"/>
                </w:rPr>
                <w:t>污染治理技术</w:t>
              </w:r>
              <w:r>
                <w:rPr>
                  <w:rFonts w:hint="eastAsia"/>
                </w:rPr>
                <w:tab/>
              </w:r>
              <w:r>
                <w:rPr>
                  <w:rFonts w:hint="eastAsia"/>
                </w:rPr>
                <w:fldChar w:fldCharType="begin"/>
              </w:r>
              <w:r>
                <w:rPr>
                  <w:rFonts w:hint="eastAsia"/>
                </w:rPr>
                <w:instrText xml:space="preserve"> </w:instrText>
              </w:r>
              <w:r>
                <w:instrText xml:space="preserve">PAGEREF _Toc226540457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"_Toc226540458" </w:instrText>
              </w:r>
              <w:r>
                <w:fldChar w:fldCharType="separate"/>
              </w:r>
              <w:r>
                <w:rPr>
                  <w:rStyle w:val="30"/>
                  <w:rFonts w:hint="eastAsia"/>
                </w:rPr>
                <w:t>6.3.3</w:t>
              </w:r>
              <w:r>
                <w:rPr>
                  <w:rFonts w:hint="eastAsia" w:eastAsiaTheme="minorEastAsia"/>
                  <w:iCs w:val="0"/>
                  <w:sz w:val="22"/>
                  <w:szCs w:val="24"/>
                  <w14:ligatures w14:val="standardContextual"/>
                </w:rPr>
                <w:tab/>
              </w:r>
              <w:r>
                <w:rPr>
                  <w:rStyle w:val="30"/>
                  <w:rFonts w:hint="eastAsia" w:ascii="宋体" w:hAnsi="宋体" w:eastAsia="宋体" w:cs="宋体"/>
                </w:rPr>
                <w:t>主要问题</w:t>
              </w:r>
              <w:r>
                <w:rPr>
                  <w:rFonts w:hint="eastAsia"/>
                </w:rPr>
                <w:tab/>
              </w:r>
              <w:r>
                <w:rPr>
                  <w:rFonts w:hint="eastAsia"/>
                </w:rPr>
                <w:fldChar w:fldCharType="begin"/>
              </w:r>
              <w:r>
                <w:rPr>
                  <w:rFonts w:hint="eastAsia"/>
                </w:rPr>
                <w:instrText xml:space="preserve"> </w:instrText>
              </w:r>
              <w:r>
                <w:instrText xml:space="preserve">PAGEREF _Toc226540458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"_Toc226540459" </w:instrText>
              </w:r>
              <w:r>
                <w:fldChar w:fldCharType="separate"/>
              </w:r>
              <w:r>
                <w:rPr>
                  <w:rStyle w:val="30"/>
                  <w:rFonts w:hint="eastAsia"/>
                </w:rPr>
                <w:t>7</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标准主要技术内容</w:t>
              </w:r>
              <w:r>
                <w:rPr>
                  <w:rFonts w:hint="eastAsia"/>
                </w:rPr>
                <w:tab/>
              </w:r>
              <w:r>
                <w:rPr>
                  <w:rFonts w:hint="eastAsia"/>
                </w:rPr>
                <w:fldChar w:fldCharType="begin"/>
              </w:r>
              <w:r>
                <w:rPr>
                  <w:rFonts w:hint="eastAsia"/>
                </w:rPr>
                <w:instrText xml:space="preserve"> </w:instrText>
              </w:r>
              <w:r>
                <w:instrText xml:space="preserve">PAGEREF _Toc226540459 \h</w:instrText>
              </w:r>
              <w:r>
                <w:rPr>
                  <w:rFonts w:hint="eastAsia"/>
                </w:rPr>
                <w:instrText xml:space="preserve"> </w:instrText>
              </w:r>
              <w:r>
                <w:rPr>
                  <w:rFonts w:hint="eastAsia"/>
                </w:rPr>
                <w:fldChar w:fldCharType="separate"/>
              </w:r>
              <w:r>
                <w:t>- 46 -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"_Toc226540460" </w:instrText>
              </w:r>
              <w:r>
                <w:fldChar w:fldCharType="separate"/>
              </w:r>
              <w:r>
                <w:rPr>
                  <w:rStyle w:val="30"/>
                  <w:rFonts w:hint="eastAsia"/>
                </w:rPr>
                <w:t>7.1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标准适用范围</w:t>
              </w:r>
              <w:r>
                <w:rPr>
                  <w:rFonts w:hint="eastAsia"/>
                </w:rPr>
                <w:tab/>
              </w:r>
              <w:r>
                <w:rPr>
                  <w:rFonts w:hint="eastAsia"/>
                </w:rPr>
                <w:fldChar w:fldCharType="begin"/>
              </w:r>
              <w:r>
                <w:rPr>
                  <w:rFonts w:hint="eastAsia"/>
                </w:rPr>
                <w:instrText xml:space="preserve"> </w:instrText>
              </w:r>
              <w:r>
                <w:instrText xml:space="preserve">PAGEREF _Toc226540460 \h</w:instrText>
              </w:r>
              <w:r>
                <w:rPr>
                  <w:rFonts w:hint="eastAsia"/>
                </w:rPr>
                <w:instrText xml:space="preserve"> </w:instrText>
              </w:r>
              <w:r>
                <w:rPr>
                  <w:rFonts w:hint="eastAsia"/>
                </w:rPr>
                <w:fldChar w:fldCharType="separate"/>
              </w:r>
              <w:r>
                <w:t>- 46 -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"_Toc226540461" </w:instrText>
              </w:r>
              <w:r>
                <w:fldChar w:fldCharType="separate"/>
              </w:r>
              <w:r>
                <w:rPr>
                  <w:rStyle w:val="30"/>
                  <w:rFonts w:hint="eastAsia"/>
                </w:rPr>
                <w:t>7.2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含</w:t>
              </w:r>
              <w:r>
                <w:rPr>
                  <w:rStyle w:val="30"/>
                  <w:rFonts w:hint="eastAsia"/>
                </w:rPr>
                <w:t>VOCs</w:t>
              </w:r>
              <w:r>
                <w:rPr>
                  <w:rStyle w:val="30"/>
                  <w:rFonts w:hint="eastAsia" w:ascii="宋体" w:hAnsi="宋体" w:eastAsia="宋体" w:cs="宋体"/>
                </w:rPr>
                <w:t>原辅材料要求</w:t>
              </w:r>
              <w:r>
                <w:rPr>
                  <w:rFonts w:hint="eastAsia"/>
                </w:rPr>
                <w:tab/>
              </w:r>
              <w:r>
                <w:rPr>
                  <w:rFonts w:hint="eastAsia"/>
                </w:rPr>
                <w:fldChar w:fldCharType="begin"/>
              </w:r>
              <w:r>
                <w:rPr>
                  <w:rFonts w:hint="eastAsia"/>
                </w:rPr>
                <w:instrText xml:space="preserve"> </w:instrText>
              </w:r>
              <w:r>
                <w:instrText xml:space="preserve">PAGEREF _Toc226540461 \h</w:instrText>
              </w:r>
              <w:r>
                <w:rPr>
                  <w:rFonts w:hint="eastAsia"/>
                </w:rPr>
                <w:instrText xml:space="preserve"> </w:instrText>
              </w:r>
              <w:r>
                <w:rPr>
                  <w:rFonts w:hint="eastAsia"/>
                </w:rPr>
                <w:fldChar w:fldCharType="separate"/>
              </w:r>
              <w:r>
                <w:t>- 46 -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"_Toc226540462" </w:instrText>
              </w:r>
              <w:r>
                <w:fldChar w:fldCharType="separate"/>
              </w:r>
              <w:r>
                <w:rPr>
                  <w:rStyle w:val="30"/>
                  <w:rFonts w:hint="eastAsia"/>
                </w:rPr>
                <w:t>7.3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污染物有组织排放限值</w:t>
              </w:r>
              <w:r>
                <w:rPr>
                  <w:rFonts w:hint="eastAsia"/>
                </w:rPr>
                <w:tab/>
              </w:r>
              <w:r>
                <w:rPr>
                  <w:rFonts w:hint="eastAsia"/>
                </w:rPr>
                <w:fldChar w:fldCharType="begin"/>
              </w:r>
              <w:r>
                <w:rPr>
                  <w:rFonts w:hint="eastAsia"/>
                </w:rPr>
                <w:instrText xml:space="preserve"> </w:instrText>
              </w:r>
              <w:r>
                <w:instrText xml:space="preserve">PAGEREF _Toc226540462 \h</w:instrText>
              </w:r>
              <w:r>
                <w:rPr>
                  <w:rFonts w:hint="eastAsia"/>
                </w:rPr>
                <w:instrText xml:space="preserve"> </w:instrText>
              </w:r>
              <w:r>
                <w:rPr>
                  <w:rFonts w:hint="eastAsia"/>
                </w:rPr>
                <w:fldChar w:fldCharType="separate"/>
              </w:r>
              <w:r>
                <w:t>- 46 -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"_Toc226540463" </w:instrText>
              </w:r>
              <w:r>
                <w:fldChar w:fldCharType="separate"/>
              </w:r>
              <w:r>
                <w:rPr>
                  <w:rStyle w:val="30"/>
                  <w:rFonts w:hint="eastAsia"/>
                </w:rPr>
                <w:t>7.3.1</w:t>
              </w:r>
              <w:r>
                <w:rPr>
                  <w:rFonts w:hint="eastAsia" w:eastAsiaTheme="minorEastAsia"/>
                  <w:iCs w:val="0"/>
                  <w:sz w:val="22"/>
                  <w:szCs w:val="24"/>
                  <w14:ligatures w14:val="standardContextual"/>
                </w:rPr>
                <w:tab/>
              </w:r>
              <w:r>
                <w:rPr>
                  <w:rStyle w:val="30"/>
                  <w:rFonts w:hint="eastAsia" w:ascii="宋体" w:hAnsi="宋体" w:eastAsia="宋体" w:cs="宋体"/>
                </w:rPr>
                <w:t>污染物有组织排放限值要求及其确定</w:t>
              </w:r>
              <w:r>
                <w:rPr>
                  <w:rFonts w:hint="eastAsia"/>
                </w:rPr>
                <w:tab/>
              </w:r>
              <w:r>
                <w:rPr>
                  <w:rFonts w:hint="eastAsia"/>
                </w:rPr>
                <w:fldChar w:fldCharType="begin"/>
              </w:r>
              <w:r>
                <w:rPr>
                  <w:rFonts w:hint="eastAsia"/>
                </w:rPr>
                <w:instrText xml:space="preserve"> </w:instrText>
              </w:r>
              <w:r>
                <w:instrText xml:space="preserve">PAGEREF _Toc226540463 \h</w:instrText>
              </w:r>
              <w:r>
                <w:rPr>
                  <w:rFonts w:hint="eastAsia"/>
                </w:rPr>
                <w:instrText xml:space="preserve"> </w:instrText>
              </w:r>
              <w:r>
                <w:rPr>
                  <w:rFonts w:hint="eastAsia"/>
                </w:rPr>
                <w:fldChar w:fldCharType="separate"/>
              </w:r>
              <w:r>
                <w:t>- 46 -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"_Toc226540464" </w:instrText>
              </w:r>
              <w:r>
                <w:fldChar w:fldCharType="separate"/>
              </w:r>
              <w:r>
                <w:rPr>
                  <w:rStyle w:val="30"/>
                  <w:rFonts w:hint="eastAsia"/>
                </w:rPr>
                <w:t>7.3.2</w:t>
              </w:r>
              <w:r>
                <w:rPr>
                  <w:rFonts w:hint="eastAsia" w:eastAsiaTheme="minorEastAsia"/>
                  <w:iCs w:val="0"/>
                  <w:sz w:val="22"/>
                  <w:szCs w:val="24"/>
                  <w14:ligatures w14:val="standardContextual"/>
                </w:rPr>
                <w:tab/>
              </w:r>
              <w:r>
                <w:rPr>
                  <w:rStyle w:val="30"/>
                  <w:rFonts w:hint="eastAsia"/>
                </w:rPr>
                <w:t>VOCs</w:t>
              </w:r>
              <w:r>
                <w:rPr>
                  <w:rStyle w:val="30"/>
                  <w:rFonts w:hint="eastAsia" w:ascii="宋体" w:hAnsi="宋体" w:eastAsia="宋体" w:cs="宋体"/>
                </w:rPr>
                <w:t>治理设施控制要求</w:t>
              </w:r>
              <w:r>
                <w:rPr>
                  <w:rFonts w:hint="eastAsia"/>
                </w:rPr>
                <w:tab/>
              </w:r>
              <w:r>
                <w:rPr>
                  <w:rFonts w:hint="eastAsia"/>
                </w:rPr>
                <w:fldChar w:fldCharType="begin"/>
              </w:r>
              <w:r>
                <w:rPr>
                  <w:rFonts w:hint="eastAsia"/>
                </w:rPr>
                <w:instrText xml:space="preserve"> </w:instrText>
              </w:r>
              <w:r>
                <w:instrText xml:space="preserve">PAGEREF _Toc226540464 \h</w:instrText>
              </w:r>
              <w:r>
                <w:rPr>
                  <w:rFonts w:hint="eastAsia"/>
                </w:rPr>
                <w:instrText xml:space="preserve"> </w:instrText>
              </w:r>
              <w:r>
                <w:rPr>
                  <w:rFonts w:hint="eastAsia"/>
                </w:rPr>
                <w:fldChar w:fldCharType="separate"/>
              </w:r>
              <w:r>
                <w:t>- 47 -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"_Toc226540465" </w:instrText>
              </w:r>
              <w:r>
                <w:fldChar w:fldCharType="separate"/>
              </w:r>
              <w:r>
                <w:rPr>
                  <w:rStyle w:val="30"/>
                  <w:rFonts w:hint="eastAsia" w:ascii="宋体" w:hAnsi="宋体" w:eastAsia="宋体" w:cs="宋体"/>
                </w:rPr>
                <w:t>（</w:t>
              </w:r>
              <w:r>
                <w:rPr>
                  <w:rStyle w:val="30"/>
                  <w:rFonts w:hint="eastAsia" w:cs="Times New Roman"/>
                </w:rPr>
                <w:t>1</w:t>
              </w:r>
              <w:r>
                <w:rPr>
                  <w:rStyle w:val="30"/>
                  <w:rFonts w:hint="eastAsia" w:ascii="宋体" w:hAnsi="宋体" w:eastAsia="宋体" w:cs="宋体"/>
                </w:rPr>
                <w:t>）处理效率</w:t>
              </w:r>
              <w:r>
                <w:rPr>
                  <w:rFonts w:hint="eastAsia"/>
                </w:rPr>
                <w:tab/>
              </w:r>
              <w:r>
                <w:rPr>
                  <w:rFonts w:hint="eastAsia"/>
                </w:rPr>
                <w:fldChar w:fldCharType="begin"/>
              </w:r>
              <w:r>
                <w:rPr>
                  <w:rFonts w:hint="eastAsia"/>
                </w:rPr>
                <w:instrText xml:space="preserve"> </w:instrText>
              </w:r>
              <w:r>
                <w:instrText xml:space="preserve">PAGEREF _Toc226540465 \h</w:instrText>
              </w:r>
              <w:r>
                <w:rPr>
                  <w:rFonts w:hint="eastAsia"/>
                </w:rPr>
                <w:instrText xml:space="preserve"> </w:instrText>
              </w:r>
              <w:r>
                <w:rPr>
                  <w:rFonts w:hint="eastAsia"/>
                </w:rPr>
                <w:fldChar w:fldCharType="separate"/>
              </w:r>
              <w:r>
                <w:t>- 47 -</w:t>
              </w:r>
              <w:r>
                <w:rPr>
                  <w:rFonts w:hint="eastAsia"/>
                </w:rPr>
                <w:fldChar w:fldCharType="end"/>
              </w:r>
              <w:r>
                <w:rPr>
                  <w:rFonts w:hint="eastAsia"/>
                </w:rPr>
                <w:fldChar w:fldCharType="end"/>
              </w:r>
            </w:p>
            <w:p>
              <w:pPr>
                <w:pStyle w:val="24"/>
                <w:tabs>
                  <w:tab w:val="right" w:leader="dot" w:pos="8296"/>
                </w:tabs>
                <w:ind w:firstLine="420"/>
                <w:rPr>
                  <w:rFonts w:eastAsiaTheme="minorEastAsia"/>
                  <w:sz w:val="22"/>
                  <w:szCs w:val="24"/>
                  <w14:ligatures w14:val="standardContextual"/>
                </w:rPr>
              </w:pPr>
              <w:r>
                <w:fldChar w:fldCharType="begin"/>
              </w:r>
              <w:r>
                <w:instrText xml:space="preserve"> HYPERLINK \l "_Toc226540466" </w:instrText>
              </w:r>
              <w:r>
                <w:fldChar w:fldCharType="separate"/>
              </w:r>
              <w:r>
                <w:rPr>
                  <w:rStyle w:val="30"/>
                  <w:rFonts w:hint="eastAsia" w:ascii="宋体" w:hAnsi="宋体" w:eastAsia="宋体" w:cs="宋体"/>
                </w:rPr>
                <w:t>（</w:t>
              </w:r>
              <w:r>
                <w:rPr>
                  <w:rStyle w:val="30"/>
                  <w:rFonts w:hint="eastAsia" w:cs="Times New Roman"/>
                </w:rPr>
                <w:t>2</w:t>
              </w:r>
              <w:r>
                <w:rPr>
                  <w:rStyle w:val="30"/>
                  <w:rFonts w:hint="eastAsia" w:ascii="宋体" w:hAnsi="宋体" w:eastAsia="宋体" w:cs="宋体"/>
                </w:rPr>
                <w:t>）</w:t>
              </w:r>
              <w:r>
                <w:rPr>
                  <w:rStyle w:val="30"/>
                  <w:rFonts w:hint="eastAsia"/>
                </w:rPr>
                <w:t>VOCs</w:t>
              </w:r>
              <w:r>
                <w:rPr>
                  <w:rStyle w:val="30"/>
                  <w:rFonts w:hint="eastAsia" w:ascii="宋体" w:hAnsi="宋体" w:eastAsia="宋体" w:cs="宋体"/>
                </w:rPr>
                <w:t>燃烧装置排放限值及浓度换算</w:t>
              </w:r>
              <w:r>
                <w:rPr>
                  <w:rFonts w:hint="eastAsia"/>
                </w:rPr>
                <w:tab/>
              </w:r>
              <w:r>
                <w:rPr>
                  <w:rFonts w:hint="eastAsia"/>
                </w:rPr>
                <w:fldChar w:fldCharType="begin"/>
              </w:r>
              <w:r>
                <w:rPr>
                  <w:rFonts w:hint="eastAsia"/>
                </w:rPr>
                <w:instrText xml:space="preserve"> </w:instrText>
              </w:r>
              <w:r>
                <w:instrText xml:space="preserve">PAGEREF _Toc226540466 \h</w:instrText>
              </w:r>
              <w:r>
                <w:rPr>
                  <w:rFonts w:hint="eastAsia"/>
                </w:rPr>
                <w:instrText xml:space="preserve"> </w:instrText>
              </w:r>
              <w:r>
                <w:rPr>
                  <w:rFonts w:hint="eastAsia"/>
                </w:rPr>
                <w:fldChar w:fldCharType="separate"/>
              </w:r>
              <w:r>
                <w:t>- 48 -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"_Toc226540467" </w:instrText>
              </w:r>
              <w:r>
                <w:fldChar w:fldCharType="separate"/>
              </w:r>
              <w:r>
                <w:rPr>
                  <w:rStyle w:val="30"/>
                  <w:rFonts w:hint="eastAsia"/>
                </w:rPr>
                <w:t>7.3.3</w:t>
              </w:r>
              <w:r>
                <w:rPr>
                  <w:rFonts w:hint="eastAsia" w:eastAsiaTheme="minorEastAsia"/>
                  <w:iCs w:val="0"/>
                  <w:sz w:val="22"/>
                  <w:szCs w:val="24"/>
                  <w14:ligatures w14:val="standardContextual"/>
                </w:rPr>
                <w:tab/>
              </w:r>
              <w:r>
                <w:rPr>
                  <w:rStyle w:val="30"/>
                  <w:rFonts w:hint="eastAsia" w:ascii="宋体" w:hAnsi="宋体" w:eastAsia="宋体" w:cs="宋体"/>
                </w:rPr>
                <w:t>加热炉和试车尾气排放要求</w:t>
              </w:r>
              <w:r>
                <w:rPr>
                  <w:rFonts w:hint="eastAsia"/>
                </w:rPr>
                <w:tab/>
              </w:r>
              <w:r>
                <w:rPr>
                  <w:rFonts w:hint="eastAsia"/>
                </w:rPr>
                <w:fldChar w:fldCharType="begin"/>
              </w:r>
              <w:r>
                <w:rPr>
                  <w:rFonts w:hint="eastAsia"/>
                </w:rPr>
                <w:instrText xml:space="preserve"> </w:instrText>
              </w:r>
              <w:r>
                <w:instrText xml:space="preserve">PAGEREF _Toc226540467 \h</w:instrText>
              </w:r>
              <w:r>
                <w:rPr>
                  <w:rFonts w:hint="eastAsia"/>
                </w:rPr>
                <w:instrText xml:space="preserve"> </w:instrText>
              </w:r>
              <w:r>
                <w:rPr>
                  <w:rFonts w:hint="eastAsia"/>
                </w:rPr>
                <w:fldChar w:fldCharType="separate"/>
              </w:r>
              <w:r>
                <w:t>- 49 -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"_Toc226540468" </w:instrText>
              </w:r>
              <w:r>
                <w:fldChar w:fldCharType="separate"/>
              </w:r>
              <w:r>
                <w:rPr>
                  <w:rStyle w:val="30"/>
                  <w:rFonts w:hint="eastAsia"/>
                </w:rPr>
                <w:t>7.3.4</w:t>
              </w:r>
              <w:r>
                <w:rPr>
                  <w:rFonts w:hint="eastAsia" w:eastAsiaTheme="minorEastAsia"/>
                  <w:iCs w:val="0"/>
                  <w:sz w:val="22"/>
                  <w:szCs w:val="24"/>
                  <w14:ligatures w14:val="standardContextual"/>
                </w:rPr>
                <w:tab/>
              </w:r>
              <w:r>
                <w:rPr>
                  <w:rStyle w:val="30"/>
                  <w:rFonts w:hint="eastAsia" w:ascii="宋体" w:hAnsi="宋体" w:eastAsia="宋体" w:cs="宋体"/>
                </w:rPr>
                <w:t>排气筒设置要求</w:t>
              </w:r>
              <w:r>
                <w:rPr>
                  <w:rFonts w:hint="eastAsia"/>
                </w:rPr>
                <w:tab/>
              </w:r>
              <w:r>
                <w:rPr>
                  <w:rFonts w:hint="eastAsia"/>
                </w:rPr>
                <w:fldChar w:fldCharType="begin"/>
              </w:r>
              <w:r>
                <w:rPr>
                  <w:rFonts w:hint="eastAsia"/>
                </w:rPr>
                <w:instrText xml:space="preserve"> </w:instrText>
              </w:r>
              <w:r>
                <w:instrText xml:space="preserve">PAGEREF _Toc226540468 \h</w:instrText>
              </w:r>
              <w:r>
                <w:rPr>
                  <w:rFonts w:hint="eastAsia"/>
                </w:rPr>
                <w:instrText xml:space="preserve"> </w:instrText>
              </w:r>
              <w:r>
                <w:rPr>
                  <w:rFonts w:hint="eastAsia"/>
                </w:rPr>
                <w:fldChar w:fldCharType="separate"/>
              </w:r>
              <w:r>
                <w:t>- 49 -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"_Toc226540469" </w:instrText>
              </w:r>
              <w:r>
                <w:fldChar w:fldCharType="separate"/>
              </w:r>
              <w:r>
                <w:rPr>
                  <w:rStyle w:val="30"/>
                  <w:rFonts w:hint="eastAsia"/>
                </w:rPr>
                <w:t>7.3.5</w:t>
              </w:r>
              <w:r>
                <w:rPr>
                  <w:rFonts w:hint="eastAsia" w:eastAsiaTheme="minorEastAsia"/>
                  <w:iCs w:val="0"/>
                  <w:sz w:val="22"/>
                  <w:szCs w:val="24"/>
                  <w14:ligatures w14:val="standardContextual"/>
                </w:rPr>
                <w:tab/>
              </w:r>
              <w:r>
                <w:rPr>
                  <w:rStyle w:val="30"/>
                  <w:rFonts w:hint="eastAsia" w:ascii="宋体" w:hAnsi="宋体" w:eastAsia="宋体" w:cs="宋体"/>
                </w:rPr>
                <w:t>其他管控要求</w:t>
              </w:r>
              <w:r>
                <w:rPr>
                  <w:rFonts w:hint="eastAsia"/>
                </w:rPr>
                <w:tab/>
              </w:r>
              <w:r>
                <w:rPr>
                  <w:rFonts w:hint="eastAsia"/>
                </w:rPr>
                <w:fldChar w:fldCharType="begin"/>
              </w:r>
              <w:r>
                <w:rPr>
                  <w:rFonts w:hint="eastAsia"/>
                </w:rPr>
                <w:instrText xml:space="preserve"> </w:instrText>
              </w:r>
              <w:r>
                <w:instrText xml:space="preserve">PAGEREF _Toc226540469 \h</w:instrText>
              </w:r>
              <w:r>
                <w:rPr>
                  <w:rFonts w:hint="eastAsia"/>
                </w:rPr>
                <w:instrText xml:space="preserve"> </w:instrText>
              </w:r>
              <w:r>
                <w:rPr>
                  <w:rFonts w:hint="eastAsia"/>
                </w:rPr>
                <w:fldChar w:fldCharType="separate"/>
              </w:r>
              <w:r>
                <w:t>- 49 -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"_Toc226540470" </w:instrText>
              </w:r>
              <w:r>
                <w:fldChar w:fldCharType="separate"/>
              </w:r>
              <w:r>
                <w:rPr>
                  <w:rStyle w:val="30"/>
                  <w:rFonts w:hint="eastAsia"/>
                </w:rPr>
                <w:t>7.4</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无组织排放控制要求</w:t>
              </w:r>
              <w:r>
                <w:rPr>
                  <w:rFonts w:hint="eastAsia"/>
                </w:rPr>
                <w:tab/>
              </w:r>
              <w:r>
                <w:rPr>
                  <w:rFonts w:hint="eastAsia"/>
                </w:rPr>
                <w:fldChar w:fldCharType="begin"/>
              </w:r>
              <w:r>
                <w:rPr>
                  <w:rFonts w:hint="eastAsia"/>
                </w:rPr>
                <w:instrText xml:space="preserve"> </w:instrText>
              </w:r>
              <w:r>
                <w:instrText xml:space="preserve">PAGEREF _Toc226540470 \h</w:instrText>
              </w:r>
              <w:r>
                <w:rPr>
                  <w:rFonts w:hint="eastAsia"/>
                </w:rPr>
                <w:instrText xml:space="preserve"> </w:instrText>
              </w:r>
              <w:r>
                <w:rPr>
                  <w:rFonts w:hint="eastAsia"/>
                </w:rPr>
                <w:fldChar w:fldCharType="separate"/>
              </w:r>
              <w:r>
                <w:t>- 50 -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"_Toc226540471" </w:instrText>
              </w:r>
              <w:r>
                <w:fldChar w:fldCharType="separate"/>
              </w:r>
              <w:r>
                <w:rPr>
                  <w:rStyle w:val="30"/>
                  <w:rFonts w:hint="eastAsia"/>
                </w:rPr>
                <w:t>7.4.1</w:t>
              </w:r>
              <w:r>
                <w:rPr>
                  <w:rFonts w:hint="eastAsia" w:eastAsiaTheme="minorEastAsia"/>
                  <w:iCs w:val="0"/>
                  <w:sz w:val="22"/>
                  <w:szCs w:val="24"/>
                  <w14:ligatures w14:val="standardContextual"/>
                </w:rPr>
                <w:tab/>
              </w:r>
              <w:r>
                <w:rPr>
                  <w:rStyle w:val="30"/>
                  <w:rFonts w:hint="eastAsia" w:ascii="宋体" w:hAnsi="宋体" w:eastAsia="宋体" w:cs="宋体"/>
                </w:rPr>
                <w:t>污染物无组织排放限值要求及其确定</w:t>
              </w:r>
              <w:r>
                <w:rPr>
                  <w:rFonts w:hint="eastAsia"/>
                </w:rPr>
                <w:tab/>
              </w:r>
              <w:r>
                <w:rPr>
                  <w:rFonts w:hint="eastAsia"/>
                </w:rPr>
                <w:fldChar w:fldCharType="begin"/>
              </w:r>
              <w:r>
                <w:rPr>
                  <w:rFonts w:hint="eastAsia"/>
                </w:rPr>
                <w:instrText xml:space="preserve"> </w:instrText>
              </w:r>
              <w:r>
                <w:instrText xml:space="preserve">PAGEREF _Toc226540471 \h</w:instrText>
              </w:r>
              <w:r>
                <w:rPr>
                  <w:rFonts w:hint="eastAsia"/>
                </w:rPr>
                <w:instrText xml:space="preserve"> </w:instrText>
              </w:r>
              <w:r>
                <w:rPr>
                  <w:rFonts w:hint="eastAsia"/>
                </w:rPr>
                <w:fldChar w:fldCharType="separate"/>
              </w:r>
              <w:r>
                <w:t>- 50 -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"_Toc226540472" </w:instrText>
              </w:r>
              <w:r>
                <w:fldChar w:fldCharType="separate"/>
              </w:r>
              <w:r>
                <w:rPr>
                  <w:rStyle w:val="30"/>
                  <w:rFonts w:hint="eastAsia"/>
                </w:rPr>
                <w:t>7.4.2</w:t>
              </w:r>
              <w:r>
                <w:rPr>
                  <w:rFonts w:hint="eastAsia" w:eastAsiaTheme="minorEastAsia"/>
                  <w:iCs w:val="0"/>
                  <w:sz w:val="22"/>
                  <w:szCs w:val="24"/>
                  <w14:ligatures w14:val="standardContextual"/>
                </w:rPr>
                <w:tab/>
              </w:r>
              <w:r>
                <w:rPr>
                  <w:rStyle w:val="30"/>
                  <w:rFonts w:hint="eastAsia" w:ascii="宋体" w:hAnsi="宋体" w:eastAsia="宋体" w:cs="宋体"/>
                </w:rPr>
                <w:t>无组织排放管控要求</w:t>
              </w:r>
              <w:r>
                <w:rPr>
                  <w:rFonts w:hint="eastAsia"/>
                </w:rPr>
                <w:tab/>
              </w:r>
              <w:r>
                <w:rPr>
                  <w:rFonts w:hint="eastAsia"/>
                </w:rPr>
                <w:fldChar w:fldCharType="begin"/>
              </w:r>
              <w:r>
                <w:rPr>
                  <w:rFonts w:hint="eastAsia"/>
                </w:rPr>
                <w:instrText xml:space="preserve"> </w:instrText>
              </w:r>
              <w:r>
                <w:instrText xml:space="preserve">PAGEREF _Toc226540472 \h</w:instrText>
              </w:r>
              <w:r>
                <w:rPr>
                  <w:rFonts w:hint="eastAsia"/>
                </w:rPr>
                <w:instrText xml:space="preserve"> </w:instrText>
              </w:r>
              <w:r>
                <w:rPr>
                  <w:rFonts w:hint="eastAsia"/>
                </w:rPr>
                <w:fldChar w:fldCharType="separate"/>
              </w:r>
              <w:r>
                <w:t>- 51 -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"_Toc226540473" </w:instrText>
              </w:r>
              <w:r>
                <w:fldChar w:fldCharType="separate"/>
              </w:r>
              <w:r>
                <w:rPr>
                  <w:rStyle w:val="30"/>
                  <w:rFonts w:hint="eastAsia"/>
                </w:rPr>
                <w:t>7.5</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污染物厂界排放控制要求</w:t>
              </w:r>
              <w:r>
                <w:rPr>
                  <w:rFonts w:hint="eastAsia"/>
                </w:rPr>
                <w:tab/>
              </w:r>
              <w:r>
                <w:rPr>
                  <w:rFonts w:hint="eastAsia"/>
                </w:rPr>
                <w:fldChar w:fldCharType="begin"/>
              </w:r>
              <w:r>
                <w:rPr>
                  <w:rFonts w:hint="eastAsia"/>
                </w:rPr>
                <w:instrText xml:space="preserve"> </w:instrText>
              </w:r>
              <w:r>
                <w:instrText xml:space="preserve">PAGEREF _Toc226540473 \h</w:instrText>
              </w:r>
              <w:r>
                <w:rPr>
                  <w:rFonts w:hint="eastAsia"/>
                </w:rPr>
                <w:instrText xml:space="preserve"> </w:instrText>
              </w:r>
              <w:r>
                <w:rPr>
                  <w:rFonts w:hint="eastAsia"/>
                </w:rPr>
                <w:fldChar w:fldCharType="separate"/>
              </w:r>
              <w:r>
                <w:rPr>
                  <w:b/>
                </w:rPr>
                <w:t>错误！未定义书签。</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"_Toc226540474" </w:instrText>
              </w:r>
              <w:r>
                <w:fldChar w:fldCharType="separate"/>
              </w:r>
              <w:r>
                <w:rPr>
                  <w:rStyle w:val="30"/>
                  <w:rFonts w:hint="eastAsia"/>
                </w:rPr>
                <w:t>7.6</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台账要求</w:t>
              </w:r>
              <w:r>
                <w:rPr>
                  <w:rFonts w:hint="eastAsia"/>
                </w:rPr>
                <w:tab/>
              </w:r>
              <w:r>
                <w:rPr>
                  <w:rFonts w:hint="eastAsia"/>
                </w:rPr>
                <w:fldChar w:fldCharType="begin"/>
              </w:r>
              <w:r>
                <w:rPr>
                  <w:rFonts w:hint="eastAsia"/>
                </w:rPr>
                <w:instrText xml:space="preserve"> </w:instrText>
              </w:r>
              <w:r>
                <w:instrText xml:space="preserve">PAGEREF _Toc226540474 \h</w:instrText>
              </w:r>
              <w:r>
                <w:rPr>
                  <w:rFonts w:hint="eastAsia"/>
                </w:rPr>
                <w:instrText xml:space="preserve"> </w:instrText>
              </w:r>
              <w:r>
                <w:rPr>
                  <w:rFonts w:hint="eastAsia"/>
                </w:rPr>
                <w:fldChar w:fldCharType="separate"/>
              </w:r>
              <w:r>
                <w:t>- 51 -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"_Toc226540475" </w:instrText>
              </w:r>
              <w:r>
                <w:fldChar w:fldCharType="separate"/>
              </w:r>
              <w:r>
                <w:rPr>
                  <w:rStyle w:val="30"/>
                  <w:rFonts w:hint="eastAsia"/>
                </w:rPr>
                <w:t>7.7</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监测要求</w:t>
              </w:r>
              <w:r>
                <w:rPr>
                  <w:rFonts w:hint="eastAsia"/>
                </w:rPr>
                <w:tab/>
              </w:r>
              <w:r>
                <w:rPr>
                  <w:rFonts w:hint="eastAsia"/>
                </w:rPr>
                <w:fldChar w:fldCharType="begin"/>
              </w:r>
              <w:r>
                <w:rPr>
                  <w:rFonts w:hint="eastAsia"/>
                </w:rPr>
                <w:instrText xml:space="preserve"> </w:instrText>
              </w:r>
              <w:r>
                <w:instrText xml:space="preserve">PAGEREF _Toc226540475 \h</w:instrText>
              </w:r>
              <w:r>
                <w:rPr>
                  <w:rFonts w:hint="eastAsia"/>
                </w:rPr>
                <w:instrText xml:space="preserve"> </w:instrText>
              </w:r>
              <w:r>
                <w:rPr>
                  <w:rFonts w:hint="eastAsia"/>
                </w:rPr>
                <w:fldChar w:fldCharType="separate"/>
              </w:r>
              <w:r>
                <w:t>- 52 -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"_Toc226540476" </w:instrText>
              </w:r>
              <w:r>
                <w:fldChar w:fldCharType="separate"/>
              </w:r>
              <w:r>
                <w:rPr>
                  <w:rStyle w:val="30"/>
                  <w:rFonts w:hint="eastAsia"/>
                </w:rPr>
                <w:t>7.7.1</w:t>
              </w:r>
              <w:r>
                <w:rPr>
                  <w:rFonts w:hint="eastAsia" w:eastAsiaTheme="minorEastAsia"/>
                  <w:iCs w:val="0"/>
                  <w:sz w:val="22"/>
                  <w:szCs w:val="24"/>
                  <w14:ligatures w14:val="standardContextual"/>
                </w:rPr>
                <w:tab/>
              </w:r>
              <w:r>
                <w:rPr>
                  <w:rStyle w:val="30"/>
                  <w:rFonts w:hint="eastAsia" w:ascii="宋体" w:hAnsi="宋体" w:eastAsia="宋体" w:cs="宋体"/>
                </w:rPr>
                <w:t>一般要求</w:t>
              </w:r>
              <w:r>
                <w:rPr>
                  <w:rFonts w:hint="eastAsia"/>
                </w:rPr>
                <w:tab/>
              </w:r>
              <w:r>
                <w:rPr>
                  <w:rFonts w:hint="eastAsia"/>
                </w:rPr>
                <w:fldChar w:fldCharType="begin"/>
              </w:r>
              <w:r>
                <w:rPr>
                  <w:rFonts w:hint="eastAsia"/>
                </w:rPr>
                <w:instrText xml:space="preserve"> </w:instrText>
              </w:r>
              <w:r>
                <w:instrText xml:space="preserve">PAGEREF _Toc226540476 \h</w:instrText>
              </w:r>
              <w:r>
                <w:rPr>
                  <w:rFonts w:hint="eastAsia"/>
                </w:rPr>
                <w:instrText xml:space="preserve"> </w:instrText>
              </w:r>
              <w:r>
                <w:rPr>
                  <w:rFonts w:hint="eastAsia"/>
                </w:rPr>
                <w:fldChar w:fldCharType="separate"/>
              </w:r>
              <w:r>
                <w:t>- 52 -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"_Toc226540477" </w:instrText>
              </w:r>
              <w:r>
                <w:fldChar w:fldCharType="separate"/>
              </w:r>
              <w:r>
                <w:rPr>
                  <w:rStyle w:val="30"/>
                  <w:rFonts w:hint="eastAsia"/>
                </w:rPr>
                <w:t>7.7.2</w:t>
              </w:r>
              <w:r>
                <w:rPr>
                  <w:rFonts w:hint="eastAsia" w:eastAsiaTheme="minorEastAsia"/>
                  <w:iCs w:val="0"/>
                  <w:sz w:val="22"/>
                  <w:szCs w:val="24"/>
                  <w14:ligatures w14:val="standardContextual"/>
                </w:rPr>
                <w:tab/>
              </w:r>
              <w:r>
                <w:rPr>
                  <w:rStyle w:val="30"/>
                  <w:rFonts w:hint="eastAsia" w:ascii="宋体" w:hAnsi="宋体" w:eastAsia="宋体" w:cs="宋体"/>
                </w:rPr>
                <w:t>有组织排放监测要求</w:t>
              </w:r>
              <w:r>
                <w:rPr>
                  <w:rFonts w:hint="eastAsia"/>
                </w:rPr>
                <w:tab/>
              </w:r>
              <w:r>
                <w:rPr>
                  <w:rFonts w:hint="eastAsia"/>
                </w:rPr>
                <w:fldChar w:fldCharType="begin"/>
              </w:r>
              <w:r>
                <w:rPr>
                  <w:rFonts w:hint="eastAsia"/>
                </w:rPr>
                <w:instrText xml:space="preserve"> </w:instrText>
              </w:r>
              <w:r>
                <w:instrText xml:space="preserve">PAGEREF _Toc226540477 \h</w:instrText>
              </w:r>
              <w:r>
                <w:rPr>
                  <w:rFonts w:hint="eastAsia"/>
                </w:rPr>
                <w:instrText xml:space="preserve"> </w:instrText>
              </w:r>
              <w:r>
                <w:rPr>
                  <w:rFonts w:hint="eastAsia"/>
                </w:rPr>
                <w:fldChar w:fldCharType="separate"/>
              </w:r>
              <w:r>
                <w:t>- 52 -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"_Toc226540478" </w:instrText>
              </w:r>
              <w:r>
                <w:fldChar w:fldCharType="separate"/>
              </w:r>
              <w:r>
                <w:rPr>
                  <w:rStyle w:val="30"/>
                  <w:rFonts w:hint="eastAsia"/>
                </w:rPr>
                <w:t>7.7.3</w:t>
              </w:r>
              <w:r>
                <w:rPr>
                  <w:rFonts w:hint="eastAsia" w:eastAsiaTheme="minorEastAsia"/>
                  <w:iCs w:val="0"/>
                  <w:sz w:val="22"/>
                  <w:szCs w:val="24"/>
                  <w14:ligatures w14:val="standardContextual"/>
                </w:rPr>
                <w:tab/>
              </w:r>
              <w:r>
                <w:rPr>
                  <w:rStyle w:val="30"/>
                  <w:rFonts w:hint="eastAsia" w:ascii="宋体" w:hAnsi="宋体" w:eastAsia="宋体" w:cs="宋体"/>
                </w:rPr>
                <w:t>无组织排放监测要求</w:t>
              </w:r>
              <w:r>
                <w:rPr>
                  <w:rFonts w:hint="eastAsia"/>
                </w:rPr>
                <w:tab/>
              </w:r>
              <w:r>
                <w:rPr>
                  <w:rFonts w:hint="eastAsia"/>
                </w:rPr>
                <w:fldChar w:fldCharType="begin"/>
              </w:r>
              <w:r>
                <w:rPr>
                  <w:rFonts w:hint="eastAsia"/>
                </w:rPr>
                <w:instrText xml:space="preserve"> </w:instrText>
              </w:r>
              <w:r>
                <w:instrText xml:space="preserve">PAGEREF _Toc226540478 \h</w:instrText>
              </w:r>
              <w:r>
                <w:rPr>
                  <w:rFonts w:hint="eastAsia"/>
                </w:rPr>
                <w:instrText xml:space="preserve"> </w:instrText>
              </w:r>
              <w:r>
                <w:rPr>
                  <w:rFonts w:hint="eastAsia"/>
                </w:rPr>
                <w:fldChar w:fldCharType="separate"/>
              </w:r>
              <w:r>
                <w:t>- 53 -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"_Toc226540479" </w:instrText>
              </w:r>
              <w:r>
                <w:fldChar w:fldCharType="separate"/>
              </w:r>
              <w:r>
                <w:rPr>
                  <w:rStyle w:val="30"/>
                  <w:rFonts w:hint="eastAsia"/>
                </w:rPr>
                <w:t>7.7.4</w:t>
              </w:r>
              <w:r>
                <w:rPr>
                  <w:rFonts w:hint="eastAsia" w:eastAsiaTheme="minorEastAsia"/>
                  <w:iCs w:val="0"/>
                  <w:sz w:val="22"/>
                  <w:szCs w:val="24"/>
                  <w14:ligatures w14:val="standardContextual"/>
                </w:rPr>
                <w:tab/>
              </w:r>
              <w:r>
                <w:rPr>
                  <w:rStyle w:val="30"/>
                  <w:rFonts w:hint="eastAsia" w:ascii="宋体" w:hAnsi="宋体" w:eastAsia="宋体" w:cs="宋体"/>
                </w:rPr>
                <w:t>大气污染物测定方法</w:t>
              </w:r>
              <w:r>
                <w:rPr>
                  <w:rFonts w:hint="eastAsia"/>
                </w:rPr>
                <w:tab/>
              </w:r>
              <w:r>
                <w:rPr>
                  <w:rFonts w:hint="eastAsia"/>
                </w:rPr>
                <w:fldChar w:fldCharType="begin"/>
              </w:r>
              <w:r>
                <w:rPr>
                  <w:rFonts w:hint="eastAsia"/>
                </w:rPr>
                <w:instrText xml:space="preserve"> </w:instrText>
              </w:r>
              <w:r>
                <w:instrText xml:space="preserve">PAGEREF _Toc226540479 \h</w:instrText>
              </w:r>
              <w:r>
                <w:rPr>
                  <w:rFonts w:hint="eastAsia"/>
                </w:rPr>
                <w:instrText xml:space="preserve"> </w:instrText>
              </w:r>
              <w:r>
                <w:rPr>
                  <w:rFonts w:hint="eastAsia"/>
                </w:rPr>
                <w:fldChar w:fldCharType="separate"/>
              </w:r>
              <w:r>
                <w:t>- 53 -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"_Toc226540480" </w:instrText>
              </w:r>
              <w:r>
                <w:fldChar w:fldCharType="separate"/>
              </w:r>
              <w:r>
                <w:rPr>
                  <w:rStyle w:val="30"/>
                  <w:rFonts w:hint="eastAsia"/>
                </w:rPr>
                <w:t>7.8</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实施与监督</w:t>
              </w:r>
              <w:r>
                <w:rPr>
                  <w:rFonts w:hint="eastAsia"/>
                </w:rPr>
                <w:tab/>
              </w:r>
              <w:r>
                <w:rPr>
                  <w:rFonts w:hint="eastAsia"/>
                </w:rPr>
                <w:fldChar w:fldCharType="begin"/>
              </w:r>
              <w:r>
                <w:rPr>
                  <w:rFonts w:hint="eastAsia"/>
                </w:rPr>
                <w:instrText xml:space="preserve"> </w:instrText>
              </w:r>
              <w:r>
                <w:instrText xml:space="preserve">PAGEREF _Toc226540480 \h</w:instrText>
              </w:r>
              <w:r>
                <w:rPr>
                  <w:rFonts w:hint="eastAsia"/>
                </w:rPr>
                <w:instrText xml:space="preserve"> </w:instrText>
              </w:r>
              <w:r>
                <w:rPr>
                  <w:rFonts w:hint="eastAsia"/>
                </w:rPr>
                <w:fldChar w:fldCharType="separate"/>
              </w:r>
              <w:r>
                <w:t>- 55 -</w:t>
              </w:r>
              <w:r>
                <w:rPr>
                  <w:rFonts w:hint="eastAsia"/>
                </w:rPr>
                <w:fldChar w:fldCharType="end"/>
              </w:r>
              <w:r>
                <w:rPr>
                  <w:rFonts w:hint="eastAsia"/>
                </w:rPr>
                <w:fldChar w:fldCharType="end"/>
              </w:r>
            </w:p>
            <w:p>
              <w:pPr>
                <w:pStyle w:val="23"/>
                <w:ind w:firstLine="422"/>
                <w:rPr>
                  <w:rFonts w:asciiTheme="minorHAnsi" w:hAnsiTheme="minorHAnsi" w:eastAsiaTheme="minorEastAsia" w:cstheme="minorBidi"/>
                  <w:b w:val="0"/>
                  <w:bCs w:val="0"/>
                  <w:caps w:val="0"/>
                  <w:sz w:val="22"/>
                  <w14:ligatures w14:val="standardContextual"/>
                </w:rPr>
              </w:pPr>
              <w:r>
                <w:fldChar w:fldCharType="begin"/>
              </w:r>
              <w:r>
                <w:instrText xml:space="preserve"> HYPERLINK \l "_Toc226540481" </w:instrText>
              </w:r>
              <w:r>
                <w:fldChar w:fldCharType="separate"/>
              </w:r>
              <w:r>
                <w:rPr>
                  <w:rStyle w:val="30"/>
                  <w:rFonts w:hint="eastAsia"/>
                </w:rPr>
                <w:t>8</w:t>
              </w:r>
              <w:r>
                <w:rPr>
                  <w:rFonts w:hint="eastAsia" w:asciiTheme="minorHAnsi" w:hAnsiTheme="minorHAnsi" w:eastAsiaTheme="minorEastAsia" w:cstheme="minorBidi"/>
                  <w:b w:val="0"/>
                  <w:bCs w:val="0"/>
                  <w:caps w:val="0"/>
                  <w:sz w:val="22"/>
                  <w14:ligatures w14:val="standardContextual"/>
                </w:rPr>
                <w:tab/>
              </w:r>
              <w:r>
                <w:rPr>
                  <w:rStyle w:val="30"/>
                  <w:rFonts w:hint="eastAsia" w:ascii="宋体" w:hAnsi="宋体" w:eastAsia="宋体" w:cs="宋体"/>
                </w:rPr>
                <w:t>技术经济及环境效益分析</w:t>
              </w:r>
              <w:r>
                <w:rPr>
                  <w:rFonts w:hint="eastAsia"/>
                </w:rPr>
                <w:tab/>
              </w:r>
              <w:r>
                <w:rPr>
                  <w:rFonts w:hint="eastAsia"/>
                </w:rPr>
                <w:fldChar w:fldCharType="begin"/>
              </w:r>
              <w:r>
                <w:rPr>
                  <w:rFonts w:hint="eastAsia"/>
                </w:rPr>
                <w:instrText xml:space="preserve"> </w:instrText>
              </w:r>
              <w:r>
                <w:instrText xml:space="preserve">PAGEREF _Toc226540481 \h</w:instrText>
              </w:r>
              <w:r>
                <w:rPr>
                  <w:rFonts w:hint="eastAsia"/>
                </w:rPr>
                <w:instrText xml:space="preserve"> </w:instrText>
              </w:r>
              <w:r>
                <w:rPr>
                  <w:rFonts w:hint="eastAsia"/>
                </w:rPr>
                <w:fldChar w:fldCharType="separate"/>
              </w:r>
              <w:r>
                <w:t>- 56 -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"_Toc226540482" </w:instrText>
              </w:r>
              <w:r>
                <w:fldChar w:fldCharType="separate"/>
              </w:r>
              <w:r>
                <w:rPr>
                  <w:rStyle w:val="30"/>
                  <w:rFonts w:hint="eastAsia"/>
                </w:rPr>
                <w:t>8.1</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技术可行分析</w:t>
              </w:r>
              <w:r>
                <w:rPr>
                  <w:rFonts w:hint="eastAsia"/>
                </w:rPr>
                <w:tab/>
              </w:r>
              <w:r>
                <w:rPr>
                  <w:rFonts w:hint="eastAsia"/>
                </w:rPr>
                <w:fldChar w:fldCharType="begin"/>
              </w:r>
              <w:r>
                <w:rPr>
                  <w:rFonts w:hint="eastAsia"/>
                </w:rPr>
                <w:instrText xml:space="preserve"> </w:instrText>
              </w:r>
              <w:r>
                <w:instrText xml:space="preserve">PAGEREF _Toc226540482 \h</w:instrText>
              </w:r>
              <w:r>
                <w:rPr>
                  <w:rFonts w:hint="eastAsia"/>
                </w:rPr>
                <w:instrText xml:space="preserve"> </w:instrText>
              </w:r>
              <w:r>
                <w:rPr>
                  <w:rFonts w:hint="eastAsia"/>
                </w:rPr>
                <w:fldChar w:fldCharType="separate"/>
              </w:r>
              <w:r>
                <w:t>- 56 -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"_Toc226540483" </w:instrText>
              </w:r>
              <w:r>
                <w:fldChar w:fldCharType="separate"/>
              </w:r>
              <w:r>
                <w:rPr>
                  <w:rStyle w:val="30"/>
                  <w:rFonts w:hint="eastAsia"/>
                </w:rPr>
                <w:t>8.2</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技术经济分析</w:t>
              </w:r>
              <w:r>
                <w:rPr>
                  <w:rFonts w:hint="eastAsia"/>
                </w:rPr>
                <w:tab/>
              </w:r>
              <w:r>
                <w:rPr>
                  <w:rFonts w:hint="eastAsia"/>
                </w:rPr>
                <w:fldChar w:fldCharType="begin"/>
              </w:r>
              <w:r>
                <w:rPr>
                  <w:rFonts w:hint="eastAsia"/>
                </w:rPr>
                <w:instrText xml:space="preserve"> </w:instrText>
              </w:r>
              <w:r>
                <w:instrText xml:space="preserve">PAGEREF _Toc226540483 \h</w:instrText>
              </w:r>
              <w:r>
                <w:rPr>
                  <w:rFonts w:hint="eastAsia"/>
                </w:rPr>
                <w:instrText xml:space="preserve"> </w:instrText>
              </w:r>
              <w:r>
                <w:rPr>
                  <w:rFonts w:hint="eastAsia"/>
                </w:rPr>
                <w:fldChar w:fldCharType="separate"/>
              </w:r>
              <w:r>
                <w:t>- 56 -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"_Toc226540484" </w:instrText>
              </w:r>
              <w:r>
                <w:fldChar w:fldCharType="separate"/>
              </w:r>
              <w:r>
                <w:rPr>
                  <w:rStyle w:val="30"/>
                  <w:rFonts w:hint="eastAsia"/>
                </w:rPr>
                <w:t>8.2.1</w:t>
              </w:r>
              <w:r>
                <w:rPr>
                  <w:rFonts w:hint="eastAsia" w:eastAsiaTheme="minorEastAsia"/>
                  <w:iCs w:val="0"/>
                  <w:sz w:val="22"/>
                  <w:szCs w:val="24"/>
                  <w14:ligatures w14:val="standardContextual"/>
                </w:rPr>
                <w:tab/>
              </w:r>
              <w:r>
                <w:rPr>
                  <w:rStyle w:val="30"/>
                  <w:rFonts w:hint="eastAsia" w:ascii="宋体" w:hAnsi="宋体" w:eastAsia="宋体" w:cs="宋体"/>
                </w:rPr>
                <w:t>源头控制</w:t>
              </w:r>
              <w:r>
                <w:rPr>
                  <w:rFonts w:hint="eastAsia"/>
                </w:rPr>
                <w:tab/>
              </w:r>
              <w:r>
                <w:rPr>
                  <w:rFonts w:hint="eastAsia"/>
                </w:rPr>
                <w:fldChar w:fldCharType="begin"/>
              </w:r>
              <w:r>
                <w:rPr>
                  <w:rFonts w:hint="eastAsia"/>
                </w:rPr>
                <w:instrText xml:space="preserve"> </w:instrText>
              </w:r>
              <w:r>
                <w:instrText xml:space="preserve">PAGEREF _Toc226540484 \h</w:instrText>
              </w:r>
              <w:r>
                <w:rPr>
                  <w:rFonts w:hint="eastAsia"/>
                </w:rPr>
                <w:instrText xml:space="preserve"> </w:instrText>
              </w:r>
              <w:r>
                <w:rPr>
                  <w:rFonts w:hint="eastAsia"/>
                </w:rPr>
                <w:fldChar w:fldCharType="separate"/>
              </w:r>
              <w:r>
                <w:t>- 56 -</w:t>
              </w:r>
              <w:r>
                <w:rPr>
                  <w:rFonts w:hint="eastAsia"/>
                </w:rPr>
                <w:fldChar w:fldCharType="end"/>
              </w:r>
              <w:r>
                <w:rPr>
                  <w:rFonts w:hint="eastAsia"/>
                </w:rPr>
                <w:fldChar w:fldCharType="end"/>
              </w:r>
            </w:p>
            <w:p>
              <w:pPr>
                <w:pStyle w:val="18"/>
                <w:tabs>
                  <w:tab w:val="left" w:pos="1680"/>
                  <w:tab w:val="right" w:leader="dot" w:pos="8296"/>
                </w:tabs>
                <w:ind w:firstLine="420"/>
                <w:rPr>
                  <w:rFonts w:eastAsiaTheme="minorEastAsia"/>
                  <w:iCs w:val="0"/>
                  <w:sz w:val="22"/>
                  <w:szCs w:val="24"/>
                  <w14:ligatures w14:val="standardContextual"/>
                </w:rPr>
              </w:pPr>
              <w:r>
                <w:fldChar w:fldCharType="begin"/>
              </w:r>
              <w:r>
                <w:instrText xml:space="preserve"> HYPERLINK \l "_Toc226540485" </w:instrText>
              </w:r>
              <w:r>
                <w:fldChar w:fldCharType="separate"/>
              </w:r>
              <w:r>
                <w:rPr>
                  <w:rStyle w:val="30"/>
                  <w:rFonts w:hint="eastAsia"/>
                </w:rPr>
                <w:t>8.2.2</w:t>
              </w:r>
              <w:r>
                <w:rPr>
                  <w:rFonts w:hint="eastAsia" w:eastAsiaTheme="minorEastAsia"/>
                  <w:iCs w:val="0"/>
                  <w:sz w:val="22"/>
                  <w:szCs w:val="24"/>
                  <w14:ligatures w14:val="standardContextual"/>
                </w:rPr>
                <w:tab/>
              </w:r>
              <w:r>
                <w:rPr>
                  <w:rStyle w:val="30"/>
                  <w:rFonts w:hint="eastAsia" w:ascii="宋体" w:hAnsi="宋体" w:eastAsia="宋体" w:cs="宋体"/>
                </w:rPr>
                <w:t>末端治理</w:t>
              </w:r>
              <w:r>
                <w:rPr>
                  <w:rFonts w:hint="eastAsia"/>
                </w:rPr>
                <w:tab/>
              </w:r>
              <w:r>
                <w:rPr>
                  <w:rFonts w:hint="eastAsia"/>
                </w:rPr>
                <w:fldChar w:fldCharType="begin"/>
              </w:r>
              <w:r>
                <w:rPr>
                  <w:rFonts w:hint="eastAsia"/>
                </w:rPr>
                <w:instrText xml:space="preserve"> </w:instrText>
              </w:r>
              <w:r>
                <w:instrText xml:space="preserve">PAGEREF _Toc226540485 \h</w:instrText>
              </w:r>
              <w:r>
                <w:rPr>
                  <w:rFonts w:hint="eastAsia"/>
                </w:rPr>
                <w:instrText xml:space="preserve"> </w:instrText>
              </w:r>
              <w:r>
                <w:rPr>
                  <w:rFonts w:hint="eastAsia"/>
                </w:rPr>
                <w:fldChar w:fldCharType="separate"/>
              </w:r>
              <w:r>
                <w:t>- 57 -</w:t>
              </w:r>
              <w:r>
                <w:rPr>
                  <w:rFonts w:hint="eastAsia"/>
                </w:rPr>
                <w:fldChar w:fldCharType="end"/>
              </w:r>
              <w:r>
                <w:rPr>
                  <w:rFonts w:hint="eastAsia"/>
                </w:rPr>
                <w:fldChar w:fldCharType="end"/>
              </w:r>
            </w:p>
            <w:p>
              <w:pPr>
                <w:pStyle w:val="26"/>
                <w:ind w:firstLine="420"/>
                <w:rPr>
                  <w:rFonts w:asciiTheme="minorHAnsi" w:hAnsiTheme="minorHAnsi" w:eastAsiaTheme="minorEastAsia" w:cstheme="minorBidi"/>
                  <w:smallCaps w:val="0"/>
                  <w:sz w:val="22"/>
                  <w:szCs w:val="24"/>
                  <w14:ligatures w14:val="standardContextual"/>
                </w:rPr>
              </w:pPr>
              <w:r>
                <w:fldChar w:fldCharType="begin"/>
              </w:r>
              <w:r>
                <w:instrText xml:space="preserve"> HYPERLINK \l "_Toc226540486" </w:instrText>
              </w:r>
              <w:r>
                <w:fldChar w:fldCharType="separate"/>
              </w:r>
              <w:r>
                <w:rPr>
                  <w:rStyle w:val="30"/>
                  <w:rFonts w:hint="eastAsia"/>
                </w:rPr>
                <w:t>8.3</w:t>
              </w:r>
              <w:r>
                <w:rPr>
                  <w:rFonts w:hint="eastAsia" w:asciiTheme="minorHAnsi" w:hAnsiTheme="minorHAnsi" w:eastAsiaTheme="minorEastAsia" w:cstheme="minorBidi"/>
                  <w:smallCaps w:val="0"/>
                  <w:sz w:val="22"/>
                  <w:szCs w:val="24"/>
                  <w14:ligatures w14:val="standardContextual"/>
                </w:rPr>
                <w:tab/>
              </w:r>
              <w:r>
                <w:rPr>
                  <w:rStyle w:val="30"/>
                  <w:rFonts w:hint="eastAsia" w:ascii="宋体" w:hAnsi="宋体" w:eastAsia="宋体" w:cs="宋体"/>
                </w:rPr>
                <w:t>环境效益分析</w:t>
              </w:r>
              <w:r>
                <w:rPr>
                  <w:rFonts w:hint="eastAsia"/>
                </w:rPr>
                <w:tab/>
              </w:r>
              <w:r>
                <w:rPr>
                  <w:rFonts w:hint="eastAsia"/>
                </w:rPr>
                <w:fldChar w:fldCharType="begin"/>
              </w:r>
              <w:r>
                <w:rPr>
                  <w:rFonts w:hint="eastAsia"/>
                </w:rPr>
                <w:instrText xml:space="preserve"> </w:instrText>
              </w:r>
              <w:r>
                <w:instrText xml:space="preserve">PAGEREF _Toc226540486 \h</w:instrText>
              </w:r>
              <w:r>
                <w:rPr>
                  <w:rFonts w:hint="eastAsia"/>
                </w:rPr>
                <w:instrText xml:space="preserve"> </w:instrText>
              </w:r>
              <w:r>
                <w:rPr>
                  <w:rFonts w:hint="eastAsia"/>
                </w:rPr>
                <w:fldChar w:fldCharType="separate"/>
              </w:r>
              <w:r>
                <w:t>- 57 -</w:t>
              </w:r>
              <w:r>
                <w:rPr>
                  <w:rFonts w:hint="eastAsia"/>
                </w:rPr>
                <w:fldChar w:fldCharType="end"/>
              </w:r>
              <w:r>
                <w:rPr>
                  <w:rFonts w:hint="eastAsia"/>
                </w:rPr>
                <w:fldChar w:fldCharType="end"/>
              </w:r>
            </w:p>
            <w:p>
              <w:pPr>
                <w:spacing w:line="240" w:lineRule="auto"/>
                <w:ind w:firstLine="0" w:firstLineChars="0"/>
                <w:rPr>
                  <w:rFonts w:cs="Times New Roman"/>
                </w:rPr>
                <w:sectPr>
                  <w:footerReference r:id="rId10" w:type="first"/>
                  <w:footerReference r:id="rId9" w:type="default"/>
                  <w:pgSz w:w="11906" w:h="16838"/>
                  <w:pgMar w:top="1440" w:right="1800" w:bottom="1440" w:left="1800" w:header="851" w:footer="992" w:gutter="0"/>
                  <w:pgNumType w:fmt="numberInDash" w:start="1"/>
                  <w:cols w:space="425" w:num="1"/>
                  <w:titlePg/>
                  <w:docGrid w:type="lines" w:linePitch="326" w:charSpace="0"/>
                </w:sectPr>
              </w:pPr>
              <w:r>
                <w:rPr>
                  <w:rFonts w:eastAsia="Times New Roman" w:cs="Times New Roman"/>
                  <w:sz w:val="21"/>
                  <w:szCs w:val="24"/>
                </w:rPr>
                <w:fldChar w:fldCharType="end"/>
              </w:r>
            </w:p>
          </w:sdtContent>
        </w:sdt>
        <w:p>
          <w:pPr>
            <w:pStyle w:val="2"/>
            <w:spacing w:before="120" w:after="120"/>
            <w:rPr>
              <w:rFonts w:ascii="Times New Roman" w:hAnsi="Times New Roman" w:cs="Times New Roman"/>
            </w:rPr>
          </w:pPr>
          <w:bookmarkStart w:id="2" w:name="_Toc226540387"/>
          <w:r>
            <w:rPr>
              <w:rFonts w:ascii="Times New Roman" w:hAnsi="Times New Roman" w:cs="Times New Roman"/>
            </w:rPr>
            <w:t>项目背景</w:t>
          </w:r>
        </w:p>
      </w:sdtContent>
    </w:sdt>
    <w:bookmarkEnd w:id="1"/>
    <w:bookmarkEnd w:id="2"/>
    <w:p>
      <w:pPr>
        <w:pStyle w:val="3"/>
        <w:spacing w:before="120" w:after="120"/>
      </w:pPr>
      <w:bookmarkStart w:id="3" w:name="_Toc226540388"/>
      <w:bookmarkStart w:id="4" w:name="_Toc27660213"/>
      <w:r>
        <w:t>任务来源</w:t>
      </w:r>
      <w:bookmarkEnd w:id="3"/>
      <w:bookmarkEnd w:id="4"/>
    </w:p>
    <w:p>
      <w:pPr>
        <w:spacing w:before="120"/>
        <w:ind w:firstLine="480"/>
      </w:pPr>
      <w:r>
        <w:rPr>
          <w:rFonts w:hint="eastAsia"/>
        </w:rPr>
        <w:t>“</w:t>
      </w:r>
      <w:r>
        <w:t>十二五</w:t>
      </w:r>
      <w:r>
        <w:rPr>
          <w:rFonts w:hint="eastAsia"/>
        </w:rPr>
        <w:t>”</w:t>
      </w:r>
      <w:r>
        <w:t>以来，重庆市空气质量实现持续明显改善，但仍面临（PM</w:t>
      </w:r>
      <w:r>
        <w:rPr>
          <w:vertAlign w:val="subscript"/>
        </w:rPr>
        <w:t>2.5</w:t>
      </w:r>
      <w:r>
        <w:t>）和臭氧（O</w:t>
      </w:r>
      <w:r>
        <w:rPr>
          <w:vertAlign w:val="subscript"/>
        </w:rPr>
        <w:t>3</w:t>
      </w:r>
      <w:r>
        <w:t>）污染双重压力，PM</w:t>
      </w:r>
      <w:r>
        <w:rPr>
          <w:vertAlign w:val="subscript"/>
        </w:rPr>
        <w:t>2.5</w:t>
      </w:r>
      <w:r>
        <w:t>和O</w:t>
      </w:r>
      <w:r>
        <w:rPr>
          <w:vertAlign w:val="subscript"/>
        </w:rPr>
        <w:t>3</w:t>
      </w:r>
      <w:r>
        <w:t>的协同控制是下一步空气质量改善的重点。国内外多年的研究成果表明挥发性有机物（VOCs）是形成PM</w:t>
      </w:r>
      <w:r>
        <w:rPr>
          <w:vertAlign w:val="subscript"/>
        </w:rPr>
        <w:t>2.5</w:t>
      </w:r>
      <w:r>
        <w:t>和O</w:t>
      </w:r>
      <w:r>
        <w:rPr>
          <w:vertAlign w:val="subscript"/>
        </w:rPr>
        <w:t>3</w:t>
      </w:r>
      <w:r>
        <w:t>的重要前体物。2014年，重庆开展了“VOCs标准编制前期调研”，确定优先制定汽车行业的大气污染物排放标准。201</w:t>
      </w:r>
      <w:r>
        <w:rPr>
          <w:rFonts w:hint="eastAsia"/>
        </w:rPr>
        <w:t>6</w:t>
      </w:r>
      <w:r>
        <w:t>年2月，重庆发布了</w:t>
      </w:r>
      <w:r>
        <w:rPr>
          <w:rFonts w:hint="eastAsia"/>
        </w:rPr>
        <w:t>《汽车维修行业大气污染物排放标准》（DB 50/661-2016）</w:t>
      </w:r>
      <w:r>
        <w:t>（以下简称“</w:t>
      </w:r>
      <w:r>
        <w:rPr>
          <w:rFonts w:hint="eastAsia"/>
        </w:rPr>
        <w:t>汽修</w:t>
      </w:r>
      <w:r>
        <w:t>地标”）。</w:t>
      </w:r>
      <w:r>
        <w:rPr>
          <w:rFonts w:hint="eastAsia"/>
        </w:rPr>
        <w:t>汽修</w:t>
      </w:r>
      <w:r>
        <w:t>地标的实施对推动本市汽车</w:t>
      </w:r>
      <w:r>
        <w:rPr>
          <w:rFonts w:hint="eastAsia"/>
        </w:rPr>
        <w:t>维修行业</w:t>
      </w:r>
      <w:r>
        <w:t>原材料替代、生产工艺改进、清洁生产水平提升、VOCs污染治理以及污染防治技术进步发挥了积极的促进和推动作用，保障了治理技术升级及污染减排任务的落实，</w:t>
      </w:r>
      <w:r>
        <w:rPr>
          <w:rFonts w:hint="eastAsia"/>
        </w:rPr>
        <w:t>填补了</w:t>
      </w:r>
      <w:r>
        <w:t>行业监管空白</w:t>
      </w:r>
      <w:r>
        <w:rPr>
          <w:rFonts w:hint="eastAsia"/>
        </w:rPr>
        <w:t>，</w:t>
      </w:r>
      <w:r>
        <w:t>为各级管理部门实施环境保护管理措施提供了</w:t>
      </w:r>
      <w:r>
        <w:rPr>
          <w:rFonts w:hint="eastAsia"/>
        </w:rPr>
        <w:t>明确</w:t>
      </w:r>
      <w:r>
        <w:t>依据，对改善区域大气环境质量具有十分积极的意义。</w:t>
      </w:r>
    </w:p>
    <w:p>
      <w:pPr>
        <w:spacing w:before="120"/>
        <w:ind w:firstLine="480"/>
      </w:pPr>
      <w:r>
        <w:t>党中央、国务院高度重视成渝地区发展。2020年1月3日，习近平总书记主持召开中央财经委员会第六次会议，作出推动成渝地区双城经济圈建设、打造高质量发展重要增长极的重大决策部署，为未来一段时期成渝地区发展提供了根本遵循和重要指引。成渝地区双城经济圈位于“一带一路”和长江经济带交汇处，是西部陆海新通道的起点，具有连接西南西北，沟通东亚与东南亚、南亚的独特优势。区域内生态禀赋优良、能源矿产丰富、城镇密布、风物多样，是我国西部人口最密集、产业基础最雄厚、创新能力最强、市场空间最广阔、开放程度最高的区域，在国家发展大局中具有独特而重要的战略地位。为加强顶层设计和统筹协调，加快推动成渝地区形成有实力、有特色的双城经济圈，编制了《成渝地区双城经济圈建设规划纲要》。为加强污染跨界协同治理，提出“有序制定修订统一的大气、水、土壤以及危险废物、噪声等领域环保标准”。为贯彻落实有关要求，经重庆市生态环境局与四川省生态环境厅协商，将重庆市地方标准《</w:t>
      </w:r>
      <w:r>
        <w:rPr>
          <w:rFonts w:hint="eastAsia"/>
        </w:rPr>
        <w:t>汽车维修行业大气污染物排放标准</w:t>
      </w:r>
      <w:r>
        <w:t>》的修订纳入川渝两地生态环境标准统一制修订计划。</w:t>
      </w:r>
    </w:p>
    <w:p>
      <w:pPr>
        <w:spacing w:before="120"/>
        <w:ind w:firstLine="480"/>
      </w:pPr>
      <w:r>
        <w:t>近年来川渝地区大气细颗粒物（PM</w:t>
      </w:r>
      <w:r>
        <w:rPr>
          <w:vertAlign w:val="subscript"/>
        </w:rPr>
        <w:t>2.5</w:t>
      </w:r>
      <w:r>
        <w:t>）和臭氧（O</w:t>
      </w:r>
      <w:r>
        <w:rPr>
          <w:vertAlign w:val="subscript"/>
        </w:rPr>
        <w:t>3</w:t>
      </w:r>
      <w:r>
        <w:t>）污染日益凸显，已成为影响川渝地区环境空气质量的首要污染物</w:t>
      </w:r>
      <w:r>
        <w:rPr>
          <w:rFonts w:hint="eastAsia"/>
        </w:rPr>
        <w:t>，</w:t>
      </w:r>
      <w:r>
        <w:t>挥发性有机物（VOCs）是形成二次有机PM</w:t>
      </w:r>
      <w:r>
        <w:rPr>
          <w:vertAlign w:val="subscript"/>
        </w:rPr>
        <w:t>2.5</w:t>
      </w:r>
      <w:r>
        <w:t>和O</w:t>
      </w:r>
      <w:r>
        <w:rPr>
          <w:vertAlign w:val="subscript"/>
        </w:rPr>
        <w:t>3</w:t>
      </w:r>
      <w:r>
        <w:t>的重要前体物</w:t>
      </w:r>
      <w:r>
        <w:rPr>
          <w:rFonts w:hint="eastAsia"/>
        </w:rPr>
        <w:t>，</w:t>
      </w:r>
      <w:r>
        <w:t>随着</w:t>
      </w:r>
      <w:r>
        <w:rPr>
          <w:rFonts w:hint="eastAsia"/>
        </w:rPr>
        <w:t>川渝地区</w:t>
      </w:r>
      <w:r>
        <w:t>经济发展</w:t>
      </w:r>
      <w:r>
        <w:rPr>
          <w:rFonts w:hint="eastAsia"/>
        </w:rPr>
        <w:t>，汽车保有量大幅增加，促进了汽车维修行业的快速发展，汽车维修行业已经成为VOCs排放的重点行业之一，</w:t>
      </w:r>
      <w:r>
        <w:t>削减其污染物排放总量，既是生态环境管理部门重点管理工作，也是行业可持续发展的迫切需要</w:t>
      </w:r>
      <w:r>
        <w:rPr>
          <w:rFonts w:hint="eastAsia"/>
        </w:rPr>
        <w:t>。重庆市汽车维修行业目前执行《汽车维修业大气污染物排放标准》(</w:t>
      </w:r>
      <w:r>
        <w:t>DB50/661-2016</w:t>
      </w:r>
      <w:r>
        <w:rPr>
          <w:rFonts w:hint="eastAsia"/>
        </w:rPr>
        <w:t>）排放标准，限值和管理要求相对于汽车维修企业过于宽松，已经无法适应当前的发展需求，亟需强化汽车维修行业VOCs管控。</w:t>
      </w:r>
      <w:r>
        <w:t>因此，重庆市市场监督管理局在《重庆市市场监督管理局关于下达2025年第一批重庆市地方标准制修订计划项目的通知》（渝市监发〔2025〕43号）中，将</w:t>
      </w:r>
      <w:r>
        <w:rPr>
          <w:rFonts w:hint="eastAsia"/>
        </w:rPr>
        <w:t>汽修</w:t>
      </w:r>
      <w:r>
        <w:t>地标列入了重庆市地方标准修订项目。</w:t>
      </w:r>
    </w:p>
    <w:p>
      <w:pPr>
        <w:pStyle w:val="3"/>
        <w:spacing w:before="120" w:after="120"/>
      </w:pPr>
      <w:bookmarkStart w:id="5" w:name="_Toc27660215"/>
      <w:bookmarkStart w:id="6" w:name="_Toc226540389"/>
      <w:r>
        <w:t>工作过程</w:t>
      </w:r>
      <w:bookmarkEnd w:id="5"/>
      <w:bookmarkEnd w:id="6"/>
    </w:p>
    <w:p>
      <w:pPr>
        <w:spacing w:before="120"/>
        <w:ind w:firstLine="480"/>
      </w:pPr>
      <w:r>
        <w:t>自标准任务下达以来，标准编制组分四个阶段开展相关工作。</w:t>
      </w:r>
    </w:p>
    <w:p>
      <w:pPr>
        <w:spacing w:before="120"/>
        <w:ind w:firstLine="480"/>
      </w:pPr>
      <w:r>
        <w:t>第一阶段（2025年4月~5月）：对《</w:t>
      </w:r>
      <w:r>
        <w:rPr>
          <w:rFonts w:hint="eastAsia"/>
        </w:rPr>
        <w:t>汽车维修行业大气污染物排放标准</w:t>
      </w:r>
      <w:r>
        <w:t>》标准使用情况评估，梳理标准使用过程中的主要问题，评估标准使用情况，组织开题论证。</w:t>
      </w:r>
    </w:p>
    <w:p>
      <w:pPr>
        <w:spacing w:before="120"/>
        <w:ind w:firstLine="480"/>
      </w:pPr>
      <w:r>
        <w:t>第二阶段（2025年6月~7月）：标准修订研究，结合国家和地方要求，确定标准修订的方向和具体内容，分析修订的可行性和带来的影响，并进行相应评估，市标准化行政主管部门进行地方标准论证。</w:t>
      </w:r>
    </w:p>
    <w:p>
      <w:pPr>
        <w:spacing w:before="120"/>
        <w:ind w:firstLine="480"/>
      </w:pPr>
      <w:r>
        <w:t>第三阶段（2025年8月~9月）：形成修订意见稿，征求各相关部门、企业和专家对标准修订建议的相关意见，反复修改后，最终形成报批稿。</w:t>
      </w:r>
    </w:p>
    <w:p>
      <w:pPr>
        <w:spacing w:before="120"/>
        <w:ind w:firstLine="480"/>
      </w:pPr>
      <w:r>
        <w:t>第四阶段（2025年10月~12月）：形成标准修订建议送审稿，完成报告编写和项目验收。</w:t>
      </w:r>
    </w:p>
    <w:p>
      <w:pPr>
        <w:spacing w:before="120"/>
        <w:ind w:firstLine="480"/>
        <w:rPr>
          <w:rFonts w:cs="Times New Roman"/>
        </w:rPr>
      </w:pPr>
      <w:r>
        <w:rPr>
          <w:rFonts w:cs="Times New Roman"/>
        </w:rPr>
        <w:br w:type="page"/>
      </w:r>
    </w:p>
    <w:p>
      <w:pPr>
        <w:pStyle w:val="2"/>
        <w:spacing w:before="120" w:after="120"/>
      </w:pPr>
      <w:bookmarkStart w:id="7" w:name="_Toc226540390"/>
      <w:bookmarkStart w:id="8" w:name="_Toc27660216"/>
      <w:r>
        <w:t>标准修订的必要性</w:t>
      </w:r>
      <w:bookmarkEnd w:id="7"/>
      <w:bookmarkEnd w:id="8"/>
    </w:p>
    <w:p>
      <w:pPr>
        <w:pStyle w:val="3"/>
        <w:spacing w:before="120" w:after="120"/>
      </w:pPr>
      <w:bookmarkStart w:id="9" w:name="_Toc27660217"/>
      <w:bookmarkStart w:id="10" w:name="_Toc226540391"/>
      <w:r>
        <w:t>落实国家及重庆市地方相关文件的需要</w:t>
      </w:r>
      <w:bookmarkEnd w:id="9"/>
      <w:bookmarkEnd w:id="10"/>
    </w:p>
    <w:p>
      <w:pPr>
        <w:spacing w:before="120"/>
        <w:ind w:firstLine="480"/>
      </w:pPr>
      <w:bookmarkStart w:id="11" w:name="_Toc27660218"/>
      <w:r>
        <w:t>国家政策方面。适应国家环保战略升级，近年来，国家相继出台《“十四五”挥发性有机物综合治理方案》《重点行业挥发性有机物综合治理方案》等政策文件，明确提出VOCs减排目标及重点行业治理要求。现行标准中VOCs排放限值（如苯系物、非甲烷总烃等）与生态环境部2020年发布的《挥发性有机物无组织排放控制标准》（GB 37822-2019）存在差距，部分指标宽松于</w:t>
      </w:r>
      <w:r>
        <w:rPr>
          <w:rFonts w:hint="eastAsia"/>
        </w:rPr>
        <w:t>北京、江苏</w:t>
      </w:r>
      <w:r>
        <w:t>等先行区域的地方标准。《固定污染源废气总烃、甲烷和非甲烷总烃的测定便携式催化氧化-氢火焰离子化检测器法》（HJ 1331-2023）和《固定污染源废气总烃、甲烷和非甲烷总烃的测定 便携式气相色谱-氢火焰离子化检测器法》（HJ 1332-2023）等监测标准颁布实施后，新的方法具有操作简单、数据准确的特点，更适合企业的日常监管。《关于印发〈重庆市空气质量持续改善行动实施方案〉的通知》（渝府发〔2024〕15号）中总体要求提到的“全面推动氮氧化物和挥发性有机物（VOCs）减排”“优化含VOCs原辅材料和产品结构”“强化VOCs全过程控制”。为落实国家“精准治污、科学治污、依法治污”要求，推行本市空气质量改善方案，亟需通过标准修订实现与国家政策的无缝衔接，并推动重庆市汽车</w:t>
      </w:r>
      <w:r>
        <w:rPr>
          <w:rFonts w:hint="eastAsia"/>
        </w:rPr>
        <w:t>维修行业</w:t>
      </w:r>
      <w:r>
        <w:t>绿色转型。</w:t>
      </w:r>
    </w:p>
    <w:bookmarkEnd w:id="11"/>
    <w:p>
      <w:pPr>
        <w:pStyle w:val="3"/>
        <w:spacing w:before="120" w:after="120"/>
      </w:pPr>
      <w:bookmarkStart w:id="12" w:name="_Toc226540392"/>
      <w:r>
        <w:rPr>
          <w:rFonts w:hint="eastAsia"/>
        </w:rPr>
        <w:t>空气质量持续改善</w:t>
      </w:r>
      <w:r>
        <w:t>的需要</w:t>
      </w:r>
      <w:bookmarkEnd w:id="12"/>
    </w:p>
    <w:p>
      <w:pPr>
        <w:spacing w:before="120"/>
        <w:ind w:firstLine="480"/>
      </w:pPr>
      <w:bookmarkStart w:id="13" w:name="_Toc27660219"/>
      <w:r>
        <w:rPr>
          <w:rFonts w:hint="eastAsia"/>
        </w:rPr>
        <w:t>国家为切实保障人民群众身体健康、以空气质量持续改善推动经济高质量发展发布了一系列与VOCs 管控的行动及方案。2018 年以来，生态环境部相继发布了《“十三五”VOCs污染防治工作方案》《重点行业挥发性有机物削减行动计划》《重点行业挥发性有机物综合治理方案》《2020年挥发性有机物治理攻坚方案》等政策文件，强调以强化源头控制、加强无组织排放控制和推进建设适宜高效的治污设施为抓手，提高对VOCs治理的高效性。重庆市也相继出台了一系列实施方案和规划：《关于印发重庆市污染防治攻坚战实施方案（2018—2020年）的通知》（渝委发〔2018〕28 号）要求进一步规范重点行业挥发性有机物污染防治工作。《重庆市生态环境保护“十四五”规划》（渝府发〔2022〕11 号）指出“以挥发性有机物治理和工业炉窑整治为重点深化工业废气污染控制。严格落实VOCs（挥发性有机物）含量限值标准，大力推进低（无）VOCs原辅材料替代，将生产和使用高VOCs含量产品的企业列入强制性清洁生产审核名单。以工业涂装、包装印刷、家具制造、电子、石化、化工、油品储运销等行业为重点，强化VOCs 无组织排放管控，推动适时把挥发性有机物纳入环境保护税征收范围”。</w:t>
      </w:r>
    </w:p>
    <w:p>
      <w:pPr>
        <w:spacing w:before="120"/>
        <w:ind w:firstLine="480"/>
      </w:pPr>
      <w:r>
        <w:rPr>
          <w:rFonts w:hint="eastAsia"/>
        </w:rPr>
        <w:t>2024年，重庆市PM</w:t>
      </w:r>
      <w:r>
        <w:rPr>
          <w:rFonts w:hint="eastAsia"/>
          <w:vertAlign w:val="subscript"/>
        </w:rPr>
        <w:t>2.5</w:t>
      </w:r>
      <w:r>
        <w:rPr>
          <w:rFonts w:hint="eastAsia"/>
        </w:rPr>
        <w:t>年均浓度为33.6</w:t>
      </w:r>
      <w:r>
        <w:t>μ</w:t>
      </w:r>
      <w:r>
        <w:rPr>
          <w:rFonts w:hint="eastAsia"/>
        </w:rPr>
        <w:t>g/m3，夏秋季O</w:t>
      </w:r>
      <w:r>
        <w:rPr>
          <w:rFonts w:hint="eastAsia"/>
          <w:vertAlign w:val="subscript"/>
        </w:rPr>
        <w:t>3</w:t>
      </w:r>
      <w:r>
        <w:rPr>
          <w:rFonts w:hint="eastAsia"/>
        </w:rPr>
        <w:t>污染时常发生，O</w:t>
      </w:r>
      <w:r>
        <w:rPr>
          <w:rFonts w:hint="eastAsia"/>
          <w:vertAlign w:val="subscript"/>
        </w:rPr>
        <w:t>3</w:t>
      </w:r>
      <w:r>
        <w:rPr>
          <w:rFonts w:hint="eastAsia"/>
        </w:rPr>
        <w:t>浓度波动上升的趋势远没得到根本扼制，空气质量持续任重道远。2023年国务院印发《空气质量持续改善行动计划》（国发〔2023〕24号）的文件，以降低细颗粒物（PM</w:t>
      </w:r>
      <w:r>
        <w:rPr>
          <w:rFonts w:hint="eastAsia"/>
          <w:vertAlign w:val="subscript"/>
        </w:rPr>
        <w:t>2.5</w:t>
      </w:r>
      <w:r>
        <w:rPr>
          <w:rFonts w:hint="eastAsia"/>
        </w:rPr>
        <w:t>）浓度为主线，大力推动氮氧化物和VOCs减排；要求到2025年，全国地级及以上城市PM</w:t>
      </w:r>
      <w:r>
        <w:rPr>
          <w:rFonts w:hint="eastAsia"/>
          <w:vertAlign w:val="subscript"/>
        </w:rPr>
        <w:t>2.5</w:t>
      </w:r>
      <w:r>
        <w:rPr>
          <w:rFonts w:hint="eastAsia"/>
        </w:rPr>
        <w:t>浓度比2020年下降10%，氮氧化物和VOCs排放总量比2020年分别下降10%以上。之后2024年重庆市发布了《重庆市空气质量持续改善行动实施方案》（渝府发〔2024〕15号）的文件，以全面推进美丽重庆建设、高水平打好全域“治气”攻坚战为中心思想，对VOCs控制提出了明确的严格要求，包括严格执行VOCs含量限值标准，控制生产和使用VOCs含量涂料、油墨、胶粘剂、清洗剂等建设项目。2024年，重庆市生态环境局与四川省生态环境厅联合制定了《川渝地区2024—2025年秋冬季大气污染联防联控工作方案》，力争完成重庆市和四川省2024年、2025年空气质量改善目标，助推成渝地区双城经济圈高质量发展；文件要求开展挥发性有机物综合治理；推动包装印刷、工业涂装等行业低（无）VOCs含量原辅材料替代；加强挥发性有机液体储罐、装卸、敞开液面、泄漏检测与修复、废气收集、废气旁路、治理设施、加油站、非正常工况、产品VOCs含量等10个关键环节排查。</w:t>
      </w:r>
    </w:p>
    <w:p>
      <w:pPr>
        <w:pStyle w:val="3"/>
        <w:spacing w:before="120" w:after="120"/>
      </w:pPr>
      <w:bookmarkStart w:id="14" w:name="_Toc226540393"/>
      <w:r>
        <w:t>调整重庆市控制区与排放限值等的管理需要</w:t>
      </w:r>
      <w:bookmarkEnd w:id="13"/>
      <w:bookmarkEnd w:id="14"/>
    </w:p>
    <w:p>
      <w:pPr>
        <w:spacing w:before="120"/>
        <w:ind w:firstLine="480"/>
        <w:rPr>
          <w:rFonts w:cs="Times New Roman"/>
          <w:highlight w:val="yellow"/>
        </w:rPr>
      </w:pPr>
      <w:bookmarkStart w:id="15" w:name="_Toc27660220"/>
      <w:r>
        <w:rPr>
          <w:rFonts w:cs="Times New Roman"/>
          <w:lang w:val="zh-CN"/>
        </w:rPr>
        <w:t>我市</w:t>
      </w:r>
      <w:r>
        <w:rPr>
          <w:rFonts w:hint="eastAsia"/>
        </w:rPr>
        <w:t>《汽车维修行业大气污染物排放标准》（DB 50/661-2016）</w:t>
      </w:r>
      <w:r>
        <w:rPr>
          <w:rFonts w:cs="Times New Roman"/>
          <w:lang w:val="zh-CN"/>
        </w:rPr>
        <w:t>于201</w:t>
      </w:r>
      <w:r>
        <w:rPr>
          <w:rFonts w:hint="eastAsia" w:cs="Times New Roman"/>
          <w:lang w:val="zh-CN"/>
        </w:rPr>
        <w:t>6</w:t>
      </w:r>
      <w:r>
        <w:rPr>
          <w:rFonts w:cs="Times New Roman"/>
          <w:lang w:val="zh-CN"/>
        </w:rPr>
        <w:t>年</w:t>
      </w:r>
      <w:r>
        <w:rPr>
          <w:rFonts w:hint="eastAsia" w:cs="Times New Roman"/>
          <w:lang w:val="zh-CN"/>
        </w:rPr>
        <w:t>2</w:t>
      </w:r>
      <w:r>
        <w:rPr>
          <w:rFonts w:cs="Times New Roman"/>
          <w:lang w:val="zh-CN"/>
        </w:rPr>
        <w:t>月1日实施，</w:t>
      </w:r>
      <w:r>
        <w:rPr>
          <w:rFonts w:hint="eastAsia" w:cs="Times New Roman"/>
          <w:lang w:val="zh-CN"/>
        </w:rPr>
        <w:t>城市建成区</w:t>
      </w:r>
      <w:r>
        <w:rPr>
          <w:rFonts w:cs="Times New Roman"/>
          <w:lang w:val="zh-CN"/>
        </w:rPr>
        <w:t>作为当时的重点区域排放限值严于其他区域。由于标准实施超过</w:t>
      </w:r>
      <w:r>
        <w:rPr>
          <w:rFonts w:hint="eastAsia" w:cs="Times New Roman"/>
          <w:lang w:val="zh-CN"/>
        </w:rPr>
        <w:t>9</w:t>
      </w:r>
      <w:r>
        <w:rPr>
          <w:rFonts w:cs="Times New Roman"/>
          <w:lang w:val="zh-CN"/>
        </w:rPr>
        <w:t>年，已经不能满足美丽重庆建设的生态环境目标要求，需从控制区、排放限值、</w:t>
      </w:r>
      <w:r>
        <w:rPr>
          <w:rFonts w:cs="Times New Roman"/>
        </w:rPr>
        <w:t>监测方法、</w:t>
      </w:r>
      <w:r>
        <w:rPr>
          <w:rFonts w:cs="Times New Roman"/>
          <w:lang w:val="zh-CN"/>
        </w:rPr>
        <w:t>标准形式</w:t>
      </w:r>
      <w:r>
        <w:rPr>
          <w:rFonts w:cs="Times New Roman"/>
        </w:rPr>
        <w:t>四</w:t>
      </w:r>
      <w:r>
        <w:rPr>
          <w:rFonts w:cs="Times New Roman"/>
          <w:lang w:val="zh-CN"/>
        </w:rPr>
        <w:t>个方面对</w:t>
      </w:r>
      <w:r>
        <w:rPr>
          <w:rFonts w:hint="eastAsia" w:cs="Times New Roman"/>
          <w:lang w:val="zh-CN"/>
        </w:rPr>
        <w:t>汽修</w:t>
      </w:r>
      <w:r>
        <w:rPr>
          <w:rFonts w:cs="Times New Roman"/>
          <w:lang w:val="zh-CN"/>
        </w:rPr>
        <w:t>地标进行修订。</w:t>
      </w:r>
    </w:p>
    <w:bookmarkEnd w:id="15"/>
    <w:p>
      <w:pPr>
        <w:spacing w:before="120"/>
        <w:ind w:firstLine="480"/>
        <w:rPr>
          <w:rFonts w:cs="Times New Roman"/>
        </w:rPr>
      </w:pPr>
      <w:r>
        <w:rPr>
          <w:rFonts w:cs="Times New Roman"/>
        </w:rPr>
        <w:t>在控制区方面</w:t>
      </w:r>
      <w:r>
        <w:rPr>
          <w:rFonts w:hint="eastAsia" w:cs="Times New Roman"/>
        </w:rPr>
        <w:t>，当年空气质量国家考核区域仅为主城区，且主城区为经济发展主战场，因此分为城市建成区和其他区域执行，城市建成区排放浓度限值严于其他区域</w:t>
      </w:r>
      <w:r>
        <w:rPr>
          <w:rFonts w:cs="Times New Roman"/>
        </w:rPr>
        <w:t>。2017年，重庆市空气质量考核范围已从主城九区扩大至28区，“十五五”期间还将纳入部分县，这导致现行标准的控制区与空气质量重点控制区域不一致</w:t>
      </w:r>
      <w:r>
        <w:rPr>
          <w:rFonts w:hint="eastAsia" w:cs="Times New Roman"/>
        </w:rPr>
        <w:t>，扩大重点区域执行统一标准越发必要</w:t>
      </w:r>
      <w:r>
        <w:rPr>
          <w:rFonts w:cs="Times New Roman"/>
        </w:rPr>
        <w:t>。</w:t>
      </w:r>
    </w:p>
    <w:p>
      <w:pPr>
        <w:spacing w:before="120"/>
        <w:ind w:firstLine="480"/>
        <w:rPr>
          <w:rFonts w:cs="Times New Roman"/>
        </w:rPr>
      </w:pPr>
      <w:r>
        <w:rPr>
          <w:rFonts w:cs="Times New Roman"/>
        </w:rPr>
        <w:t>在排放限值方面，排放限值比</w:t>
      </w:r>
      <w:r>
        <w:rPr>
          <w:rFonts w:hint="eastAsia" w:cs="Times New Roman"/>
        </w:rPr>
        <w:t>国内其他省市</w:t>
      </w:r>
      <w:r>
        <w:rPr>
          <w:rFonts w:cs="Times New Roman"/>
        </w:rPr>
        <w:t>宽松。</w:t>
      </w:r>
      <w:r>
        <w:rPr>
          <w:rFonts w:hint="eastAsia" w:cs="Times New Roman"/>
        </w:rPr>
        <w:t>目前重庆市汽车维修行业</w:t>
      </w:r>
      <w:r>
        <w:rPr>
          <w:rFonts w:cs="Times New Roman"/>
        </w:rPr>
        <w:t>VOCs治理</w:t>
      </w:r>
      <w:r>
        <w:rPr>
          <w:rFonts w:hint="eastAsia" w:cs="Times New Roman"/>
        </w:rPr>
        <w:t>普遍采用</w:t>
      </w:r>
      <w:r>
        <w:rPr>
          <w:rFonts w:cs="Times New Roman"/>
        </w:rPr>
        <w:t>活性炭吸附法</w:t>
      </w:r>
      <w:r>
        <w:rPr>
          <w:rFonts w:hint="eastAsia" w:cs="Times New Roman"/>
        </w:rPr>
        <w:t>，非甲烷总烃</w:t>
      </w:r>
      <w:r>
        <w:rPr>
          <w:rFonts w:cs="Times New Roman"/>
        </w:rPr>
        <w:t>排放浓度可</w:t>
      </w:r>
      <w:r>
        <w:rPr>
          <w:rFonts w:hint="eastAsia" w:cs="Times New Roman"/>
        </w:rPr>
        <w:t>控制</w:t>
      </w:r>
      <w:r>
        <w:rPr>
          <w:rFonts w:cs="Times New Roman"/>
        </w:rPr>
        <w:t>在30mg/m</w:t>
      </w:r>
      <w:r>
        <w:rPr>
          <w:rFonts w:cs="Times New Roman"/>
          <w:vertAlign w:val="superscript"/>
        </w:rPr>
        <w:t>3</w:t>
      </w:r>
      <w:r>
        <w:rPr>
          <w:rFonts w:hint="eastAsia" w:cs="Times New Roman"/>
        </w:rPr>
        <w:t>左右</w:t>
      </w:r>
      <w:r>
        <w:rPr>
          <w:rFonts w:cs="Times New Roman"/>
        </w:rPr>
        <w:t>，现行标准对</w:t>
      </w:r>
      <w:r>
        <w:rPr>
          <w:rFonts w:hint="eastAsia" w:cs="Times New Roman"/>
        </w:rPr>
        <w:t>非甲烷总烃</w:t>
      </w:r>
      <w:r>
        <w:rPr>
          <w:rFonts w:cs="Times New Roman"/>
        </w:rPr>
        <w:t>限值较高，为</w:t>
      </w:r>
      <w:r>
        <w:rPr>
          <w:rFonts w:hint="eastAsia" w:cs="Times New Roman"/>
        </w:rPr>
        <w:t>50</w:t>
      </w:r>
      <w:r>
        <w:rPr>
          <w:rFonts w:cs="Times New Roman"/>
        </w:rPr>
        <w:t>mg/m</w:t>
      </w:r>
      <w:r>
        <w:rPr>
          <w:rFonts w:cs="Times New Roman"/>
          <w:vertAlign w:val="superscript"/>
        </w:rPr>
        <w:t>3</w:t>
      </w:r>
      <w:r>
        <w:rPr>
          <w:rFonts w:cs="Times New Roman"/>
        </w:rPr>
        <w:t>，</w:t>
      </w:r>
      <w:r>
        <w:rPr>
          <w:rFonts w:hint="eastAsia" w:cs="Times New Roman"/>
        </w:rPr>
        <w:t>苯、苯系物、颗粒物的排放浓度限值分别为1mg/m</w:t>
      </w:r>
      <w:r>
        <w:rPr>
          <w:rFonts w:hint="eastAsia" w:cs="Times New Roman"/>
          <w:vertAlign w:val="superscript"/>
        </w:rPr>
        <w:t>3</w:t>
      </w:r>
      <w:r>
        <w:rPr>
          <w:rFonts w:hint="eastAsia" w:cs="Times New Roman"/>
        </w:rPr>
        <w:t>、30mg/m</w:t>
      </w:r>
      <w:r>
        <w:rPr>
          <w:rFonts w:hint="eastAsia" w:cs="Times New Roman"/>
          <w:vertAlign w:val="superscript"/>
        </w:rPr>
        <w:t>3</w:t>
      </w:r>
      <w:r>
        <w:rPr>
          <w:rFonts w:hint="eastAsia" w:cs="Times New Roman"/>
        </w:rPr>
        <w:t>、10mg/m</w:t>
      </w:r>
      <w:r>
        <w:rPr>
          <w:rFonts w:hint="eastAsia" w:cs="Times New Roman"/>
          <w:vertAlign w:val="superscript"/>
        </w:rPr>
        <w:t>3</w:t>
      </w:r>
      <w:r>
        <w:rPr>
          <w:rFonts w:hint="eastAsia" w:cs="Times New Roman"/>
        </w:rPr>
        <w:t>，较国内其他省市</w:t>
      </w:r>
      <w:r>
        <w:rPr>
          <w:rFonts w:cs="Times New Roman"/>
        </w:rPr>
        <w:t>宽松</w:t>
      </w:r>
      <w:r>
        <w:rPr>
          <w:rFonts w:hint="eastAsia" w:cs="Times New Roman"/>
        </w:rPr>
        <w:t>，我市仍有提升空间。同时，四川2025年启动了《四川省汽车维修行业大气污染物排放标准》的制定工作，本次修订需与四川对接，根据《成渝地区双城经济圈建设规划纲要》等文件要求，统一要求。</w:t>
      </w:r>
    </w:p>
    <w:p>
      <w:pPr>
        <w:spacing w:before="120"/>
        <w:ind w:firstLine="480"/>
        <w:rPr>
          <w:rFonts w:cs="Times New Roman"/>
        </w:rPr>
      </w:pPr>
      <w:r>
        <w:rPr>
          <w:rFonts w:cs="Times New Roman"/>
        </w:rPr>
        <w:t>在监测方法方面，日常监管需要简单高效的监测方法。《固定污染源废气 总烃、甲烷和非甲烷总烃的测定 便携式催化氧化-氢火焰离子化检测器法》（HJ 1331-2023）和《固定污染源废气 总烃、甲烷和非甲烷总烃的测定 便携式气象色谱-氢火焰离子化检测器法》（HJ 1332-2023）等监测标准颁布实施，新的方法操作简单、数据准确，更适合企业的日常监管。</w:t>
      </w:r>
    </w:p>
    <w:p>
      <w:pPr>
        <w:pStyle w:val="44"/>
        <w:spacing w:before="120"/>
        <w:ind w:firstLine="480"/>
        <w:rPr>
          <w:rFonts w:cs="Times New Roman"/>
        </w:rPr>
      </w:pPr>
      <w:r>
        <w:rPr>
          <w:rFonts w:cs="Times New Roman"/>
        </w:rPr>
        <w:t>在标准形式方面，需根据《成渝地区双城经济圈建设规划纲要》和《成渝地区双城经济圈生态环境标准编制规范》的内容开展标准制修订工作，统一规范和要求。</w:t>
      </w:r>
    </w:p>
    <w:p>
      <w:pPr>
        <w:spacing w:before="120"/>
        <w:ind w:firstLine="480"/>
        <w:rPr>
          <w:rFonts w:cs="Times New Roman"/>
        </w:rPr>
        <w:sectPr>
          <w:footerReference r:id="rId11" w:type="default"/>
          <w:pgSz w:w="11906" w:h="16839"/>
          <w:pgMar w:top="1440" w:right="1797" w:bottom="1440" w:left="1797" w:header="0" w:footer="851" w:gutter="0"/>
          <w:pgNumType w:fmt="numberInDash" w:start="1"/>
          <w:cols w:space="720" w:num="1"/>
        </w:sectPr>
      </w:pPr>
      <w:bookmarkStart w:id="16" w:name="_Toc27660221"/>
    </w:p>
    <w:p>
      <w:pPr>
        <w:pStyle w:val="2"/>
        <w:spacing w:before="163" w:after="163"/>
        <w:rPr>
          <w:rFonts w:ascii="Times New Roman" w:hAnsi="Times New Roman" w:cs="Times New Roman"/>
        </w:rPr>
      </w:pPr>
      <w:bookmarkStart w:id="17" w:name="_Toc226540394"/>
      <w:r>
        <w:rPr>
          <w:rFonts w:ascii="Times New Roman" w:hAnsi="Times New Roman" w:cs="Times New Roman"/>
        </w:rPr>
        <w:t>国内外排放控制相关标准研究</w:t>
      </w:r>
      <w:bookmarkEnd w:id="17"/>
    </w:p>
    <w:p>
      <w:pPr>
        <w:pStyle w:val="3"/>
        <w:spacing w:before="163" w:after="163"/>
        <w:rPr>
          <w:rFonts w:ascii="Times New Roman" w:hAnsi="Times New Roman" w:cs="Times New Roman"/>
        </w:rPr>
      </w:pPr>
      <w:bookmarkStart w:id="18" w:name="_Toc27660222"/>
      <w:bookmarkStart w:id="19" w:name="_Toc226540395"/>
      <w:r>
        <w:rPr>
          <w:rFonts w:ascii="Times New Roman" w:hAnsi="Times New Roman" w:cs="Times New Roman"/>
        </w:rPr>
        <w:t>国外相关标准</w:t>
      </w:r>
      <w:bookmarkEnd w:id="18"/>
      <w:bookmarkEnd w:id="19"/>
    </w:p>
    <w:p>
      <w:pPr>
        <w:pStyle w:val="4"/>
        <w:spacing w:before="163" w:after="163"/>
      </w:pPr>
      <w:bookmarkStart w:id="20" w:name="_Toc226540396"/>
      <w:r>
        <w:rPr>
          <w:rFonts w:hint="eastAsia"/>
        </w:rPr>
        <w:t>美国</w:t>
      </w:r>
      <w:bookmarkEnd w:id="20"/>
    </w:p>
    <w:p>
      <w:pPr>
        <w:ind w:firstLine="480"/>
        <w:rPr>
          <w:rFonts w:cs="Times New Roman"/>
        </w:rPr>
      </w:pPr>
      <w:r>
        <w:rPr>
          <w:rFonts w:hint="eastAsia" w:cs="Times New Roman"/>
        </w:rPr>
        <w:t>美国EPA《汽车修补漆挥发性有机化合物排放国家标准（40CFR第59部分）》(National Volatile Organic Compound Emission Standards for Automobile Refinish Coatings (40CFR Part 59))，规定了汽修行业中所用涂料VOCs含量限值，见表3-1。</w:t>
      </w:r>
    </w:p>
    <w:p>
      <w:pPr>
        <w:ind w:firstLine="0" w:firstLineChars="0"/>
        <w:jc w:val="center"/>
        <w:rPr>
          <w:b/>
          <w:sz w:val="21"/>
          <w:szCs w:val="21"/>
        </w:rPr>
      </w:pPr>
      <w:r>
        <w:rPr>
          <w:rFonts w:hint="eastAsia"/>
          <w:b/>
          <w:sz w:val="21"/>
          <w:szCs w:val="21"/>
        </w:rPr>
        <w:t>表3-1 美国车辆表面喷涂VOCs含量标准</w:t>
      </w:r>
    </w:p>
    <w:tbl>
      <w:tblPr>
        <w:tblStyle w:val="3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9"/>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259" w:type="dxa"/>
            <w:tcBorders>
              <w:top w:val="single" w:color="auto" w:sz="4" w:space="0"/>
              <w:bottom w:val="single" w:color="auto" w:sz="4" w:space="0"/>
            </w:tcBorders>
          </w:tcPr>
          <w:p>
            <w:pPr>
              <w:tabs>
                <w:tab w:val="left" w:pos="788"/>
              </w:tabs>
              <w:spacing w:line="240" w:lineRule="auto"/>
              <w:ind w:firstLine="0" w:firstLineChars="0"/>
              <w:jc w:val="center"/>
              <w:rPr>
                <w:rFonts w:cs="Times New Roman"/>
                <w:b/>
                <w:bCs/>
                <w:color w:val="000000"/>
                <w:kern w:val="0"/>
                <w:sz w:val="21"/>
              </w:rPr>
            </w:pPr>
            <w:r>
              <w:rPr>
                <w:rFonts w:cs="Times New Roman"/>
                <w:b/>
                <w:bCs/>
                <w:color w:val="000000"/>
                <w:kern w:val="0"/>
                <w:sz w:val="21"/>
              </w:rPr>
              <w:t>涂料类型</w:t>
            </w:r>
          </w:p>
        </w:tc>
        <w:tc>
          <w:tcPr>
            <w:tcW w:w="4263" w:type="dxa"/>
            <w:tcBorders>
              <w:top w:val="single" w:color="auto" w:sz="4" w:space="0"/>
              <w:bottom w:val="single" w:color="auto" w:sz="4" w:space="0"/>
            </w:tcBorders>
          </w:tcPr>
          <w:p>
            <w:pPr>
              <w:tabs>
                <w:tab w:val="left" w:pos="788"/>
              </w:tabs>
              <w:spacing w:line="240" w:lineRule="auto"/>
              <w:ind w:firstLine="0" w:firstLineChars="0"/>
              <w:jc w:val="center"/>
              <w:rPr>
                <w:rFonts w:cs="Times New Roman"/>
                <w:b/>
                <w:bCs/>
                <w:color w:val="000000"/>
                <w:kern w:val="0"/>
                <w:sz w:val="21"/>
              </w:rPr>
            </w:pPr>
            <w:r>
              <w:rPr>
                <w:rFonts w:cs="Times New Roman"/>
                <w:b/>
                <w:bCs/>
                <w:color w:val="000000"/>
                <w:kern w:val="0"/>
                <w:sz w:val="21"/>
              </w:rPr>
              <w:t>VOCs含量（g/L）a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Borders>
              <w:top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预处理清洗水</w:t>
            </w:r>
          </w:p>
        </w:tc>
        <w:tc>
          <w:tcPr>
            <w:tcW w:w="4263" w:type="dxa"/>
            <w:tcBorders>
              <w:top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溶剂型底漆</w:t>
            </w:r>
          </w:p>
        </w:tc>
        <w:tc>
          <w:tcPr>
            <w:tcW w:w="4263"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底漆/底漆二道浆</w:t>
            </w:r>
          </w:p>
        </w:tc>
        <w:tc>
          <w:tcPr>
            <w:tcW w:w="4263"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底漆密封</w:t>
            </w:r>
          </w:p>
        </w:tc>
        <w:tc>
          <w:tcPr>
            <w:tcW w:w="4263"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单级/2级面漆</w:t>
            </w:r>
          </w:p>
        </w:tc>
        <w:tc>
          <w:tcPr>
            <w:tcW w:w="4263"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3级或更多级面漆</w:t>
            </w:r>
          </w:p>
        </w:tc>
        <w:tc>
          <w:tcPr>
            <w:tcW w:w="4263"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特殊涂料b</w:t>
            </w:r>
          </w:p>
        </w:tc>
        <w:tc>
          <w:tcPr>
            <w:tcW w:w="4263"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9"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封填底漆</w:t>
            </w:r>
          </w:p>
        </w:tc>
        <w:tc>
          <w:tcPr>
            <w:tcW w:w="4263" w:type="dxa"/>
            <w:tcBorders>
              <w:bottom w:val="single" w:color="auto" w:sz="4" w:space="0"/>
            </w:tcBorders>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550</w:t>
            </w:r>
          </w:p>
        </w:tc>
      </w:tr>
    </w:tbl>
    <w:p>
      <w:pPr>
        <w:spacing w:line="240" w:lineRule="auto"/>
        <w:ind w:firstLine="0" w:firstLineChars="0"/>
        <w:jc w:val="left"/>
        <w:rPr>
          <w:bCs/>
          <w:kern w:val="0"/>
          <w:sz w:val="18"/>
          <w:szCs w:val="18"/>
        </w:rPr>
      </w:pPr>
      <w:r>
        <w:rPr>
          <w:bCs/>
          <w:kern w:val="0"/>
          <w:sz w:val="18"/>
          <w:szCs w:val="18"/>
        </w:rPr>
        <w:t>a VOCs含量指不含水和豁免化合物的涂料中VOCs总量。</w:t>
      </w:r>
    </w:p>
    <w:p>
      <w:pPr>
        <w:spacing w:line="240" w:lineRule="auto"/>
        <w:ind w:firstLine="0" w:firstLineChars="0"/>
        <w:jc w:val="left"/>
        <w:rPr>
          <w:bCs/>
          <w:kern w:val="0"/>
          <w:sz w:val="18"/>
          <w:szCs w:val="18"/>
        </w:rPr>
      </w:pPr>
      <w:r>
        <w:rPr>
          <w:bCs/>
          <w:kern w:val="0"/>
          <w:sz w:val="18"/>
          <w:szCs w:val="18"/>
        </w:rPr>
        <w:t>b 特殊涂料包括助粘剂、防眩光/安全涂料、金属边饰修补涂料、弹性材料、耐冲击涂料、车底橡胶沥青涂料、统一修补混合物和焊接后涂料。</w:t>
      </w:r>
    </w:p>
    <w:p>
      <w:pPr>
        <w:ind w:firstLine="480"/>
        <w:rPr>
          <w:rFonts w:cs="Times New Roman"/>
          <w:color w:val="000000"/>
        </w:rPr>
      </w:pPr>
      <w:r>
        <w:rPr>
          <w:rFonts w:hint="eastAsia" w:cs="Times New Roman"/>
        </w:rPr>
        <w:t>除此之外，美国加州和南海岸空气管理区等地方法律标准在美国EPA颁布的标准上进一步加严。加州Automotive Refinishing Operations（RULE1116）中对涂料中的VOCs含量做了限值规定，见表3-2、表3-3。</w:t>
      </w:r>
    </w:p>
    <w:p>
      <w:pPr>
        <w:ind w:firstLine="0" w:firstLineChars="0"/>
        <w:jc w:val="center"/>
        <w:rPr>
          <w:b/>
          <w:sz w:val="21"/>
          <w:szCs w:val="21"/>
        </w:rPr>
      </w:pPr>
      <w:r>
        <w:rPr>
          <w:rFonts w:hint="eastAsia"/>
          <w:b/>
          <w:sz w:val="21"/>
          <w:szCs w:val="21"/>
        </w:rPr>
        <w:t>表3-2 涂料种类和VOCs限值</w:t>
      </w:r>
    </w:p>
    <w:tbl>
      <w:tblPr>
        <w:tblStyle w:val="32"/>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9"/>
        <w:gridCol w:w="4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jc w:val="center"/>
        </w:trPr>
        <w:tc>
          <w:tcPr>
            <w:tcW w:w="4259"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涂料种类</w:t>
            </w:r>
          </w:p>
        </w:tc>
        <w:tc>
          <w:tcPr>
            <w:tcW w:w="4263"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VOCs管理限值g/L（lb/gal）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助粘剂</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色漆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多彩色漆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680（5.7）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660（5.5）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底漆封闭剂</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单级漆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340（2.8）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临时保护漆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卡车床保护漆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310（2.6）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车身下方保护漆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430（3.6）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均一修补漆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59"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其他类型漆</w:t>
            </w:r>
          </w:p>
        </w:tc>
        <w:tc>
          <w:tcPr>
            <w:tcW w:w="426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r>
    </w:tbl>
    <w:p>
      <w:pPr>
        <w:spacing w:line="240" w:lineRule="auto"/>
        <w:ind w:firstLine="0" w:firstLineChars="0"/>
        <w:rPr>
          <w:rFonts w:eastAsia="仿宋_GB2312" w:cs="Times New Roman"/>
          <w:szCs w:val="24"/>
        </w:rPr>
      </w:pPr>
    </w:p>
    <w:p>
      <w:pPr>
        <w:ind w:firstLine="0" w:firstLineChars="0"/>
        <w:jc w:val="center"/>
        <w:rPr>
          <w:b/>
          <w:sz w:val="21"/>
          <w:szCs w:val="21"/>
        </w:rPr>
      </w:pPr>
      <w:r>
        <w:rPr>
          <w:rFonts w:hint="eastAsia"/>
          <w:b/>
          <w:sz w:val="21"/>
          <w:szCs w:val="21"/>
        </w:rPr>
        <w:t>表3-3 涂料种类和VOCs限值</w:t>
      </w:r>
    </w:p>
    <w:tbl>
      <w:tblPr>
        <w:tblStyle w:val="32"/>
        <w:tblW w:w="85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39"/>
        <w:gridCol w:w="2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2840" w:type="dxa"/>
            <w:vMerge w:val="restart"/>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涂料种类</w:t>
            </w:r>
          </w:p>
        </w:tc>
        <w:tc>
          <w:tcPr>
            <w:tcW w:w="5679" w:type="dxa"/>
            <w:gridSpan w:val="2"/>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VOCs管理限值g/L（lb/gal）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2840" w:type="dxa"/>
            <w:vMerge w:val="continue"/>
          </w:tcPr>
          <w:p>
            <w:pPr>
              <w:tabs>
                <w:tab w:val="left" w:pos="788"/>
              </w:tabs>
              <w:spacing w:line="240" w:lineRule="auto"/>
              <w:ind w:firstLine="0" w:firstLineChars="0"/>
              <w:jc w:val="center"/>
              <w:rPr>
                <w:rFonts w:cs="Times New Roman"/>
                <w:b/>
                <w:bCs/>
                <w:color w:val="000000"/>
                <w:kern w:val="0"/>
                <w:sz w:val="21"/>
              </w:rPr>
            </w:pPr>
          </w:p>
        </w:tc>
        <w:tc>
          <w:tcPr>
            <w:tcW w:w="2839"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组1*2011-7-1日前</w:t>
            </w:r>
          </w:p>
        </w:tc>
        <w:tc>
          <w:tcPr>
            <w:tcW w:w="2840"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组2**2011-7-1日前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预处理清洗底漆</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780（6.5）</w:t>
            </w:r>
          </w:p>
        </w:tc>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780（6.5）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底漆密封</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250（2.1）</w:t>
            </w:r>
          </w:p>
        </w:tc>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340（2.8）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面漆</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340（2.8）</w:t>
            </w:r>
          </w:p>
        </w:tc>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金属面漆</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420（3.5）</w:t>
            </w:r>
          </w:p>
        </w:tc>
        <w:tc>
          <w:tcPr>
            <w:tcW w:w="2840" w:type="dxa"/>
          </w:tcPr>
          <w:p>
            <w:pPr>
              <w:tabs>
                <w:tab w:val="left" w:pos="788"/>
              </w:tabs>
              <w:spacing w:line="240" w:lineRule="auto"/>
              <w:ind w:firstLine="0" w:firstLineChars="0"/>
              <w:jc w:val="center"/>
              <w:rPr>
                <w:rFonts w:cs="Times New Roman"/>
                <w:color w:val="000000"/>
                <w:kern w:val="0"/>
                <w:sz w:val="21"/>
              </w:rPr>
            </w:pPr>
            <w:bookmarkStart w:id="21" w:name="OLE_LINK1"/>
            <w:r>
              <w:rPr>
                <w:rFonts w:hint="eastAsia" w:cs="Times New Roman"/>
                <w:color w:val="000000"/>
                <w:kern w:val="0"/>
                <w:sz w:val="21"/>
              </w:rPr>
              <w:t>420（3.5）</w:t>
            </w:r>
            <w:bookmarkEnd w:id="2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特殊性能</w:t>
            </w:r>
          </w:p>
        </w:tc>
        <w:tc>
          <w:tcPr>
            <w:tcW w:w="283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420（3.5）</w:t>
            </w:r>
          </w:p>
        </w:tc>
        <w:tc>
          <w:tcPr>
            <w:tcW w:w="2840"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420（3.5）</w:t>
            </w:r>
          </w:p>
        </w:tc>
      </w:tr>
    </w:tbl>
    <w:p>
      <w:pPr>
        <w:spacing w:line="240" w:lineRule="auto"/>
        <w:ind w:firstLine="0" w:firstLineChars="0"/>
        <w:jc w:val="left"/>
        <w:rPr>
          <w:bCs/>
          <w:kern w:val="0"/>
          <w:sz w:val="18"/>
          <w:szCs w:val="18"/>
        </w:rPr>
      </w:pPr>
      <w:r>
        <w:rPr>
          <w:bCs/>
          <w:kern w:val="0"/>
          <w:sz w:val="18"/>
          <w:szCs w:val="18"/>
        </w:rPr>
        <w:t>*组1：共用运输车和移动设备，包括但不限于：卡车车身、卡车拖车、通用车身、露营挂车罩、移动式起重机、推土机、道路清扫车、高尔夫球车、农用车等不严格要求颜色匹配的。</w:t>
      </w:r>
    </w:p>
    <w:p>
      <w:pPr>
        <w:spacing w:line="240" w:lineRule="auto"/>
        <w:ind w:firstLine="0" w:firstLineChars="0"/>
        <w:jc w:val="left"/>
        <w:rPr>
          <w:bCs/>
          <w:kern w:val="0"/>
          <w:sz w:val="18"/>
          <w:szCs w:val="18"/>
        </w:rPr>
      </w:pPr>
      <w:r>
        <w:rPr>
          <w:bCs/>
          <w:kern w:val="0"/>
          <w:sz w:val="18"/>
          <w:szCs w:val="18"/>
        </w:rPr>
        <w:t>**组2：私人乘用车：大型/中型卡车和底盘重量超过10000磅的车辆；轻型、中型卡车和总重在10000磅左右的货车，以及组1中要求颜色匹配的车辆。</w:t>
      </w:r>
    </w:p>
    <w:p>
      <w:pPr>
        <w:ind w:firstLine="480"/>
        <w:rPr>
          <w:rFonts w:cs="Times New Roman"/>
        </w:rPr>
      </w:pPr>
      <w:r>
        <w:rPr>
          <w:rFonts w:hint="eastAsia" w:cs="Times New Roman"/>
        </w:rPr>
        <w:t>美国南海岸《机动车辆和移动设备非装配线涂装业务》(Scaqmd Motor Vehicle And Mobile Equipment Non-Assembly Line Coating Operations (Rule 1151))中规定了汽车维修等非装配线涂装作业的涂料VOCs含量限值，见表3-4。</w:t>
      </w:r>
    </w:p>
    <w:p>
      <w:pPr>
        <w:ind w:firstLine="0" w:firstLineChars="0"/>
        <w:jc w:val="center"/>
        <w:rPr>
          <w:b/>
          <w:sz w:val="21"/>
          <w:szCs w:val="21"/>
        </w:rPr>
      </w:pPr>
      <w:r>
        <w:rPr>
          <w:rFonts w:hint="eastAsia"/>
          <w:b/>
          <w:sz w:val="21"/>
          <w:szCs w:val="21"/>
        </w:rPr>
        <w:t>表3-4  涂料中VOCs含量限值（2013年5月1日之后的车辆）（g/L去除水和豁免物）</w:t>
      </w:r>
    </w:p>
    <w:tbl>
      <w:tblPr>
        <w:tblStyle w:val="32"/>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9"/>
        <w:gridCol w:w="2212"/>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249"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涂料类型</w:t>
            </w:r>
          </w:p>
        </w:tc>
        <w:tc>
          <w:tcPr>
            <w:tcW w:w="2212"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g/L</w:t>
            </w:r>
          </w:p>
        </w:tc>
        <w:tc>
          <w:tcPr>
            <w:tcW w:w="2059"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lb/gal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附着力促进剂</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色漆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多色漆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680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预处理底漆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660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密封底漆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单层涂料</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340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临时保护漆料</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卡车底盘衬里涂料</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310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底盘涂料</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430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均匀面漆</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4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其他涂料</w:t>
            </w:r>
          </w:p>
        </w:tc>
        <w:tc>
          <w:tcPr>
            <w:tcW w:w="2212"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c>
          <w:tcPr>
            <w:tcW w:w="2059"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2.1</w:t>
            </w:r>
          </w:p>
        </w:tc>
      </w:tr>
    </w:tbl>
    <w:p>
      <w:pPr>
        <w:spacing w:line="240" w:lineRule="auto"/>
        <w:ind w:firstLine="0" w:firstLineChars="0"/>
        <w:jc w:val="left"/>
        <w:rPr>
          <w:bCs/>
          <w:kern w:val="0"/>
          <w:sz w:val="18"/>
          <w:szCs w:val="18"/>
        </w:rPr>
      </w:pPr>
      <w:r>
        <w:rPr>
          <w:rFonts w:hint="eastAsia"/>
          <w:bCs/>
          <w:kern w:val="0"/>
          <w:sz w:val="18"/>
          <w:szCs w:val="18"/>
        </w:rPr>
        <w:t>注：豁免化合物包括二氯甲烷、四氯化碳、全氯乙烯、环、支、线性的甲基硅氧烷（VMS）。</w:t>
      </w:r>
    </w:p>
    <w:p>
      <w:pPr>
        <w:pStyle w:val="4"/>
        <w:spacing w:before="163" w:after="163"/>
      </w:pPr>
      <w:bookmarkStart w:id="22" w:name="_Toc226540397"/>
      <w:r>
        <w:rPr>
          <w:rFonts w:hint="eastAsia"/>
        </w:rPr>
        <w:t>欧盟</w:t>
      </w:r>
      <w:bookmarkEnd w:id="22"/>
    </w:p>
    <w:p>
      <w:pPr>
        <w:ind w:firstLine="480"/>
        <w:rPr>
          <w:rFonts w:cs="Times New Roman"/>
        </w:rPr>
      </w:pPr>
      <w:r>
        <w:rPr>
          <w:rFonts w:hint="eastAsia" w:cs="Times New Roman"/>
        </w:rPr>
        <w:t>欧盟《关于限制挥发性有机化合物排放的第2004/42/EC号指令》(Directive 2004/42/EC of the European Parliament and of the Council of 21 April 2004 on the limitation of emissions of volatile organic compounds)规定了汽车维修行业相关原辅料的VOCs含量限值，最新的版本修订于2019年7月，见下表。</w:t>
      </w:r>
    </w:p>
    <w:p>
      <w:pPr>
        <w:ind w:firstLine="0" w:firstLineChars="0"/>
        <w:jc w:val="center"/>
        <w:rPr>
          <w:b/>
          <w:sz w:val="21"/>
          <w:szCs w:val="21"/>
        </w:rPr>
      </w:pPr>
      <w:r>
        <w:rPr>
          <w:rFonts w:hint="eastAsia"/>
          <w:b/>
          <w:sz w:val="21"/>
          <w:szCs w:val="21"/>
        </w:rPr>
        <w:t>表3-5 汽修行业相关原辅料的VOCs含量限值</w:t>
      </w:r>
    </w:p>
    <w:tbl>
      <w:tblPr>
        <w:tblStyle w:val="32"/>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962"/>
        <w:gridCol w:w="4021"/>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14"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序号</w:t>
            </w:r>
          </w:p>
        </w:tc>
        <w:tc>
          <w:tcPr>
            <w:tcW w:w="1962"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产品子类别</w:t>
            </w:r>
          </w:p>
        </w:tc>
        <w:tc>
          <w:tcPr>
            <w:tcW w:w="4021"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类型</w:t>
            </w:r>
          </w:p>
        </w:tc>
        <w:tc>
          <w:tcPr>
            <w:tcW w:w="1723"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VOCs(g/l(*))</w:t>
            </w:r>
          </w:p>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(2007.1.1)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4"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w:t>
            </w:r>
          </w:p>
        </w:tc>
        <w:tc>
          <w:tcPr>
            <w:tcW w:w="1962"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准备和清洁</w:t>
            </w: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w:t>
            </w:r>
          </w:p>
        </w:tc>
        <w:tc>
          <w:tcPr>
            <w:tcW w:w="1723"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850</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4"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962"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清洁</w:t>
            </w:r>
          </w:p>
        </w:tc>
        <w:tc>
          <w:tcPr>
            <w:tcW w:w="1723" w:type="dxa"/>
            <w:vMerge w:val="continue"/>
            <w:vAlign w:val="center"/>
          </w:tcPr>
          <w:p>
            <w:pPr>
              <w:tabs>
                <w:tab w:val="left" w:pos="788"/>
              </w:tabs>
              <w:spacing w:line="240" w:lineRule="auto"/>
              <w:ind w:firstLine="0" w:firstLineChars="0"/>
              <w:jc w:val="center"/>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w:t>
            </w:r>
          </w:p>
        </w:tc>
        <w:tc>
          <w:tcPr>
            <w:tcW w:w="196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车身填充/腻子</w:t>
            </w: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72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w:t>
            </w:r>
          </w:p>
        </w:tc>
        <w:tc>
          <w:tcPr>
            <w:tcW w:w="196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表面修正/填充和普通(金属)底漆</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洗涤底漆</w:t>
            </w:r>
          </w:p>
        </w:tc>
        <w:tc>
          <w:tcPr>
            <w:tcW w:w="172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w:t>
            </w:r>
          </w:p>
        </w:tc>
        <w:tc>
          <w:tcPr>
            <w:tcW w:w="196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面漆</w:t>
            </w: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72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w:t>
            </w:r>
          </w:p>
        </w:tc>
        <w:tc>
          <w:tcPr>
            <w:tcW w:w="196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特殊罩光漆</w:t>
            </w:r>
          </w:p>
        </w:tc>
        <w:tc>
          <w:tcPr>
            <w:tcW w:w="402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72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bl>
    <w:p>
      <w:pPr>
        <w:spacing w:line="240" w:lineRule="auto"/>
        <w:ind w:firstLine="0" w:firstLineChars="0"/>
        <w:jc w:val="left"/>
        <w:rPr>
          <w:bCs/>
          <w:kern w:val="0"/>
          <w:sz w:val="18"/>
          <w:szCs w:val="18"/>
        </w:rPr>
      </w:pPr>
      <w:r>
        <w:rPr>
          <w:bCs/>
          <w:kern w:val="0"/>
          <w:sz w:val="18"/>
          <w:szCs w:val="18"/>
        </w:rPr>
        <w:t>(*)g/l除了（a）类，产品中的水含量都要扣除</w:t>
      </w:r>
    </w:p>
    <w:p>
      <w:pPr>
        <w:ind w:firstLine="480"/>
        <w:rPr>
          <w:rFonts w:cs="Times New Roman"/>
        </w:rPr>
      </w:pPr>
      <w:r>
        <w:rPr>
          <w:rFonts w:hint="eastAsia" w:cs="Times New Roman"/>
        </w:rPr>
        <w:t>此外，在《关于工业排放的指令》(Directive 2010/75/EU of the European Parliament and of the Council of 24 November 2010 on industrial emissions)中对车辆涂层和修补过程的排放做出了限值要求，详见表3-6。</w:t>
      </w:r>
    </w:p>
    <w:p>
      <w:pPr>
        <w:ind w:firstLine="0" w:firstLineChars="0"/>
        <w:jc w:val="center"/>
        <w:rPr>
          <w:b/>
          <w:sz w:val="21"/>
          <w:szCs w:val="21"/>
        </w:rPr>
      </w:pPr>
      <w:r>
        <w:rPr>
          <w:rFonts w:hint="eastAsia"/>
          <w:b/>
          <w:sz w:val="21"/>
          <w:szCs w:val="21"/>
        </w:rPr>
        <w:t>表3-6 汽修行业排放要求</w:t>
      </w:r>
    </w:p>
    <w:tbl>
      <w:tblPr>
        <w:tblStyle w:val="32"/>
        <w:tblW w:w="8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0"/>
        <w:gridCol w:w="1702"/>
        <w:gridCol w:w="1460"/>
        <w:gridCol w:w="2083"/>
        <w:gridCol w:w="1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blHeader/>
          <w:jc w:val="center"/>
        </w:trPr>
        <w:tc>
          <w:tcPr>
            <w:tcW w:w="195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类别（溶剂消耗阈值 吨/年）</w:t>
            </w:r>
          </w:p>
        </w:tc>
        <w:tc>
          <w:tcPr>
            <w:tcW w:w="1702"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溶剂消耗阈值</w:t>
            </w:r>
          </w:p>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(吨/年)</w:t>
            </w:r>
          </w:p>
        </w:tc>
        <w:tc>
          <w:tcPr>
            <w:tcW w:w="146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排放限值</w:t>
            </w:r>
          </w:p>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(mg C/Nm3)</w:t>
            </w:r>
          </w:p>
        </w:tc>
        <w:tc>
          <w:tcPr>
            <w:tcW w:w="2083"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逸散性排放限值</w:t>
            </w:r>
          </w:p>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溶剂输入百分比</w:t>
            </w:r>
          </w:p>
        </w:tc>
        <w:tc>
          <w:tcPr>
            <w:tcW w:w="1324"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特殊条款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车辆涂层(＜15)</w:t>
            </w:r>
          </w:p>
        </w:tc>
        <w:tc>
          <w:tcPr>
            <w:tcW w:w="170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＞0</w:t>
            </w:r>
          </w:p>
        </w:tc>
        <w:tc>
          <w:tcPr>
            <w:tcW w:w="14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50</w:t>
            </w:r>
          </w:p>
        </w:tc>
        <w:tc>
          <w:tcPr>
            <w:tcW w:w="208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w:t>
            </w:r>
          </w:p>
        </w:tc>
        <w:tc>
          <w:tcPr>
            <w:tcW w:w="132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15分钟测量平均值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车辆修补</w:t>
            </w:r>
          </w:p>
        </w:tc>
        <w:tc>
          <w:tcPr>
            <w:tcW w:w="1702"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w:t>
            </w:r>
          </w:p>
        </w:tc>
        <w:tc>
          <w:tcPr>
            <w:tcW w:w="14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50</w:t>
            </w:r>
          </w:p>
        </w:tc>
        <w:tc>
          <w:tcPr>
            <w:tcW w:w="208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w:t>
            </w:r>
          </w:p>
        </w:tc>
        <w:tc>
          <w:tcPr>
            <w:tcW w:w="132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15分钟测量平均值</w:t>
            </w:r>
          </w:p>
        </w:tc>
      </w:tr>
    </w:tbl>
    <w:p>
      <w:pPr>
        <w:pStyle w:val="4"/>
        <w:spacing w:before="163" w:after="163"/>
      </w:pPr>
      <w:bookmarkStart w:id="23" w:name="_Toc226540398"/>
      <w:r>
        <w:rPr>
          <w:rFonts w:hint="eastAsia"/>
        </w:rPr>
        <w:t>英国</w:t>
      </w:r>
      <w:bookmarkEnd w:id="23"/>
    </w:p>
    <w:p>
      <w:pPr>
        <w:ind w:firstLine="480"/>
        <w:rPr>
          <w:rFonts w:cs="Times New Roman"/>
          <w:color w:val="000000"/>
        </w:rPr>
      </w:pPr>
      <w:r>
        <w:rPr>
          <w:rFonts w:hint="eastAsia" w:cs="Times New Roman"/>
        </w:rPr>
        <w:t>英国发布的《2012年涂料、清漆和车辆修补产品中的挥发性有机化合物法规》(The Volatile Organic Compounds in Paints, Varnishes and Vehicle Refinishing Products Regulations 2012)规定了汽车修补产品（即用型）VOCs含量限值，见表3-7。</w:t>
      </w:r>
    </w:p>
    <w:p>
      <w:pPr>
        <w:ind w:firstLine="0" w:firstLineChars="0"/>
        <w:jc w:val="center"/>
        <w:rPr>
          <w:rFonts w:cs="Times New Roman"/>
          <w:color w:val="000000"/>
        </w:rPr>
      </w:pPr>
      <w:r>
        <w:rPr>
          <w:rFonts w:hint="eastAsia"/>
          <w:b/>
          <w:sz w:val="21"/>
          <w:szCs w:val="21"/>
        </w:rPr>
        <w:t>表3-7 汽车修补产品VOCs限值要求</w:t>
      </w:r>
    </w:p>
    <w:tbl>
      <w:tblPr>
        <w:tblStyle w:val="32"/>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058"/>
        <w:gridCol w:w="421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55"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序号</w:t>
            </w:r>
          </w:p>
        </w:tc>
        <w:tc>
          <w:tcPr>
            <w:tcW w:w="2058"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产品子类别</w:t>
            </w:r>
          </w:p>
        </w:tc>
        <w:tc>
          <w:tcPr>
            <w:tcW w:w="4214"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类型</w:t>
            </w:r>
          </w:p>
        </w:tc>
        <w:tc>
          <w:tcPr>
            <w:tcW w:w="1394"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VOC(g/l)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55"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w:t>
            </w:r>
          </w:p>
        </w:tc>
        <w:tc>
          <w:tcPr>
            <w:tcW w:w="2058"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准备和清洁</w:t>
            </w: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w:t>
            </w:r>
          </w:p>
        </w:tc>
        <w:tc>
          <w:tcPr>
            <w:tcW w:w="1394"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850</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55"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2058"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清洁</w:t>
            </w:r>
          </w:p>
        </w:tc>
        <w:tc>
          <w:tcPr>
            <w:tcW w:w="1394" w:type="dxa"/>
            <w:vMerge w:val="continue"/>
            <w:vAlign w:val="center"/>
          </w:tcPr>
          <w:p>
            <w:pPr>
              <w:tabs>
                <w:tab w:val="left" w:pos="788"/>
              </w:tabs>
              <w:spacing w:line="240" w:lineRule="auto"/>
              <w:ind w:firstLine="0" w:firstLineChars="0"/>
              <w:jc w:val="center"/>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5"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w:t>
            </w:r>
          </w:p>
        </w:tc>
        <w:tc>
          <w:tcPr>
            <w:tcW w:w="205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车身填充/腻子</w:t>
            </w: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39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5"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w:t>
            </w:r>
          </w:p>
        </w:tc>
        <w:tc>
          <w:tcPr>
            <w:tcW w:w="205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表面修正/填充和普通(金属)底漆</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洗涤底漆</w:t>
            </w:r>
          </w:p>
        </w:tc>
        <w:tc>
          <w:tcPr>
            <w:tcW w:w="139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5"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w:t>
            </w:r>
          </w:p>
        </w:tc>
        <w:tc>
          <w:tcPr>
            <w:tcW w:w="205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面漆</w:t>
            </w: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39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5"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w:t>
            </w:r>
          </w:p>
        </w:tc>
        <w:tc>
          <w:tcPr>
            <w:tcW w:w="205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特殊罩光漆</w:t>
            </w:r>
          </w:p>
        </w:tc>
        <w:tc>
          <w:tcPr>
            <w:tcW w:w="421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所有类型</w:t>
            </w:r>
          </w:p>
        </w:tc>
        <w:tc>
          <w:tcPr>
            <w:tcW w:w="139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bl>
    <w:p>
      <w:pPr>
        <w:spacing w:line="240" w:lineRule="auto"/>
        <w:ind w:firstLine="0" w:firstLineChars="0"/>
        <w:jc w:val="left"/>
        <w:rPr>
          <w:bCs/>
          <w:kern w:val="0"/>
          <w:sz w:val="18"/>
          <w:szCs w:val="18"/>
        </w:rPr>
      </w:pPr>
      <w:r>
        <w:rPr>
          <w:bCs/>
          <w:kern w:val="0"/>
          <w:sz w:val="18"/>
          <w:szCs w:val="18"/>
        </w:rPr>
        <w:t>注：本要求不适用于使用修补材料的车辆原始涂层；拖车或半拖车的涂层；老式或历史车辆的涂层；在具有污染防治许可证的装置中使用车辆修补产品。除预备产品和清洁产品外，计算中须扣除即用型产品的含水量。</w:t>
      </w:r>
    </w:p>
    <w:p>
      <w:pPr>
        <w:ind w:firstLine="480"/>
        <w:rPr>
          <w:rFonts w:cs="Times New Roman"/>
        </w:rPr>
      </w:pPr>
      <w:r>
        <w:rPr>
          <w:rFonts w:hint="eastAsia" w:cs="Times New Roman"/>
        </w:rPr>
        <w:t>根据英国《污染防治条例》(Pollution Prevention and Control Regulations)的要求，对于溶剂排放活动，汽车维修行业溶剂消耗阈值为0.5吨/年，超过该阈值则需要接受监管部门的管控。《地方空气污染防治条例》(Local Air Pollution Prevention and Control)还规定了汽车维修工艺过程中除VOCs之外的其他污染物的排放限值，见下表。</w:t>
      </w:r>
    </w:p>
    <w:p>
      <w:pPr>
        <w:ind w:firstLine="0" w:firstLineChars="0"/>
        <w:jc w:val="center"/>
        <w:rPr>
          <w:b/>
          <w:sz w:val="21"/>
          <w:szCs w:val="21"/>
        </w:rPr>
      </w:pPr>
      <w:r>
        <w:rPr>
          <w:rFonts w:hint="eastAsia"/>
          <w:b/>
          <w:sz w:val="21"/>
          <w:szCs w:val="21"/>
        </w:rPr>
        <w:t>表3-8 non-VOCs的排放限值和监测要求</w:t>
      </w:r>
    </w:p>
    <w:tbl>
      <w:tblPr>
        <w:tblStyle w:val="32"/>
        <w:tblW w:w="8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1"/>
        <w:gridCol w:w="2457"/>
        <w:gridCol w:w="1984"/>
        <w:gridCol w:w="1220"/>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tblHeader/>
          <w:jc w:val="center"/>
        </w:trPr>
        <w:tc>
          <w:tcPr>
            <w:tcW w:w="1151"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污染物项目</w:t>
            </w:r>
          </w:p>
        </w:tc>
        <w:tc>
          <w:tcPr>
            <w:tcW w:w="2457"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排放源</w:t>
            </w:r>
          </w:p>
        </w:tc>
        <w:tc>
          <w:tcPr>
            <w:tcW w:w="1984"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排放限值/条款</w:t>
            </w:r>
          </w:p>
        </w:tc>
        <w:tc>
          <w:tcPr>
            <w:tcW w:w="122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监测方法</w:t>
            </w:r>
          </w:p>
        </w:tc>
        <w:tc>
          <w:tcPr>
            <w:tcW w:w="1707"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1"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颗粒物</w:t>
            </w:r>
          </w:p>
        </w:tc>
        <w:tc>
          <w:tcPr>
            <w:tcW w:w="2457"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喷漆房</w:t>
            </w:r>
          </w:p>
        </w:tc>
        <w:tc>
          <w:tcPr>
            <w:tcW w:w="1984" w:type="dxa"/>
            <w:vAlign w:val="center"/>
          </w:tcPr>
          <w:p>
            <w:pPr>
              <w:tabs>
                <w:tab w:val="left" w:pos="788"/>
              </w:tabs>
              <w:spacing w:line="240" w:lineRule="auto"/>
              <w:ind w:firstLine="0" w:firstLineChars="0"/>
              <w:jc w:val="center"/>
              <w:rPr>
                <w:rFonts w:cs="Times New Roman"/>
                <w:color w:val="000000"/>
                <w:kern w:val="0"/>
                <w:sz w:val="21"/>
              </w:rPr>
            </w:pPr>
            <w:bookmarkStart w:id="24" w:name="OLE_LINK4"/>
            <w:r>
              <w:rPr>
                <w:rFonts w:hint="eastAsia" w:cs="Times New Roman"/>
                <w:color w:val="000000"/>
                <w:kern w:val="0"/>
                <w:sz w:val="21"/>
              </w:rPr>
              <w:t>10mg/Nm3</w:t>
            </w:r>
            <w:bookmarkEnd w:id="24"/>
          </w:p>
        </w:tc>
        <w:tc>
          <w:tcPr>
            <w:tcW w:w="122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指南测试方法</w:t>
            </w:r>
          </w:p>
        </w:tc>
        <w:tc>
          <w:tcPr>
            <w:tcW w:w="1707"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1年1次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1"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2457"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打磨设备和其他源（除喷漆房）</w:t>
            </w:r>
          </w:p>
        </w:tc>
        <w:tc>
          <w:tcPr>
            <w:tcW w:w="198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50mg/Nm3（15分钟平均值）</w:t>
            </w:r>
          </w:p>
        </w:tc>
        <w:tc>
          <w:tcPr>
            <w:tcW w:w="12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707" w:type="dxa"/>
            <w:vMerge w:val="continue"/>
            <w:vAlign w:val="center"/>
          </w:tcPr>
          <w:p>
            <w:pPr>
              <w:tabs>
                <w:tab w:val="left" w:pos="788"/>
              </w:tabs>
              <w:spacing w:line="240" w:lineRule="auto"/>
              <w:ind w:firstLine="0" w:firstLineChars="0"/>
              <w:jc w:val="center"/>
              <w:rPr>
                <w:rFonts w:cs="Times New Roman"/>
                <w:color w:val="000000"/>
                <w:kern w:val="0"/>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1"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SO2</w:t>
            </w:r>
          </w:p>
        </w:tc>
        <w:tc>
          <w:tcPr>
            <w:tcW w:w="2457"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所有使用重质燃料油或其他的活动</w:t>
            </w:r>
          </w:p>
        </w:tc>
        <w:tc>
          <w:tcPr>
            <w:tcW w:w="198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1%wt/wt硫分</w:t>
            </w:r>
          </w:p>
        </w:tc>
        <w:tc>
          <w:tcPr>
            <w:tcW w:w="2927" w:type="dxa"/>
            <w:gridSpan w:val="2"/>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燃料的硫含量由Sulphur Content of Liquid Fuels Regulations 规管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51" w:type="dxa"/>
            <w:vMerge w:val="continue"/>
          </w:tcPr>
          <w:p>
            <w:pPr>
              <w:tabs>
                <w:tab w:val="left" w:pos="788"/>
              </w:tabs>
              <w:spacing w:line="240" w:lineRule="auto"/>
              <w:ind w:firstLine="0" w:firstLineChars="0"/>
              <w:jc w:val="center"/>
              <w:rPr>
                <w:rFonts w:cs="Times New Roman"/>
                <w:color w:val="000000"/>
                <w:kern w:val="0"/>
                <w:sz w:val="21"/>
              </w:rPr>
            </w:pPr>
          </w:p>
        </w:tc>
        <w:tc>
          <w:tcPr>
            <w:tcW w:w="2457"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所有使用轻质柴油的活动</w:t>
            </w:r>
          </w:p>
        </w:tc>
        <w:tc>
          <w:tcPr>
            <w:tcW w:w="1984"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0.1%wt/wt硫分</w:t>
            </w:r>
          </w:p>
        </w:tc>
        <w:tc>
          <w:tcPr>
            <w:tcW w:w="2927" w:type="dxa"/>
            <w:gridSpan w:val="2"/>
            <w:vMerge w:val="continue"/>
          </w:tcPr>
          <w:p>
            <w:pPr>
              <w:keepNext/>
              <w:spacing w:line="360" w:lineRule="auto"/>
              <w:ind w:firstLine="480"/>
              <w:jc w:val="left"/>
              <w:rPr>
                <w:rFonts w:eastAsia="方正仿宋_GBK" w:cs="Times New Roman"/>
                <w:szCs w:val="24"/>
              </w:rPr>
            </w:pPr>
          </w:p>
        </w:tc>
      </w:tr>
    </w:tbl>
    <w:p>
      <w:pPr>
        <w:pStyle w:val="4"/>
        <w:spacing w:before="163" w:after="163"/>
      </w:pPr>
      <w:bookmarkStart w:id="25" w:name="_Toc226540399"/>
      <w:r>
        <w:rPr>
          <w:rFonts w:hint="eastAsia"/>
        </w:rPr>
        <w:t>日本</w:t>
      </w:r>
      <w:bookmarkEnd w:id="25"/>
    </w:p>
    <w:p>
      <w:pPr>
        <w:ind w:firstLine="480"/>
        <w:rPr>
          <w:rFonts w:cs="Times New Roman"/>
        </w:rPr>
      </w:pPr>
      <w:r>
        <w:rPr>
          <w:rFonts w:hint="eastAsia" w:cs="Times New Roman"/>
        </w:rPr>
        <w:t>日本的大气污染防治法和189号政令对汽车涂装设备排风机的VOCs排放浓度做出了限值要求，要求不超过214mg/m</w:t>
      </w:r>
      <w:r>
        <w:rPr>
          <w:rFonts w:hint="eastAsia" w:cs="Times New Roman"/>
          <w:vertAlign w:val="superscript"/>
        </w:rPr>
        <w:t>3</w:t>
      </w:r>
      <w:r>
        <w:rPr>
          <w:rFonts w:hint="eastAsia" w:cs="Times New Roman"/>
        </w:rPr>
        <w:t>。</w:t>
      </w:r>
    </w:p>
    <w:p>
      <w:pPr>
        <w:ind w:firstLine="480"/>
        <w:rPr>
          <w:rFonts w:cs="Times New Roman"/>
        </w:rPr>
      </w:pPr>
      <w:r>
        <w:rPr>
          <w:rFonts w:cs="Times New Roman"/>
        </w:rPr>
        <w:t>总体上，国外的</w:t>
      </w:r>
      <w:r>
        <w:rPr>
          <w:rFonts w:hint="eastAsia" w:cs="Times New Roman"/>
        </w:rPr>
        <w:t>汽修行业</w:t>
      </w:r>
      <w:r>
        <w:rPr>
          <w:rFonts w:cs="Times New Roman"/>
        </w:rPr>
        <w:t>相关标准法规主要着重于从源头进行控制，</w:t>
      </w:r>
      <w:r>
        <w:rPr>
          <w:rFonts w:hint="eastAsia" w:cs="Times New Roman"/>
        </w:rPr>
        <w:t>对涂料VOCs含量限值更加严格</w:t>
      </w:r>
      <w:r>
        <w:rPr>
          <w:rFonts w:cs="Times New Roman"/>
        </w:rPr>
        <w:t>，</w:t>
      </w:r>
      <w:r>
        <w:rPr>
          <w:rFonts w:hint="eastAsia" w:cs="Times New Roman"/>
        </w:rPr>
        <w:t>并且针对不同涂料类型的分类更加详细。</w:t>
      </w:r>
    </w:p>
    <w:p>
      <w:pPr>
        <w:ind w:firstLine="480"/>
      </w:pPr>
    </w:p>
    <w:p>
      <w:pPr>
        <w:pStyle w:val="3"/>
        <w:spacing w:before="326" w:beforeLines="100" w:after="163"/>
        <w:rPr>
          <w:rFonts w:ascii="Times New Roman" w:hAnsi="Times New Roman" w:cs="Times New Roman"/>
        </w:rPr>
      </w:pPr>
      <w:bookmarkStart w:id="26" w:name="_Toc27660223"/>
      <w:bookmarkStart w:id="27" w:name="_Toc226540400"/>
      <w:r>
        <w:rPr>
          <w:rFonts w:hint="eastAsia" w:ascii="Times New Roman" w:hAnsi="Times New Roman" w:cs="Times New Roman"/>
        </w:rPr>
        <w:t>国家</w:t>
      </w:r>
      <w:r>
        <w:rPr>
          <w:rFonts w:ascii="Times New Roman" w:hAnsi="Times New Roman" w:cs="Times New Roman"/>
        </w:rPr>
        <w:t>排放标准</w:t>
      </w:r>
      <w:bookmarkEnd w:id="26"/>
      <w:bookmarkEnd w:id="27"/>
    </w:p>
    <w:p>
      <w:pPr>
        <w:ind w:firstLine="480"/>
        <w:rPr>
          <w:rFonts w:cs="Times New Roman"/>
        </w:rPr>
      </w:pPr>
      <w:r>
        <w:rPr>
          <w:rFonts w:hint="eastAsia" w:cs="Times New Roman"/>
        </w:rPr>
        <w:t>目前国家暂未发布汽车维修行业排放标准。我国现行关于汽车涂料VOCs含量限值的国标是《车辆涂料中有害物质限量》(GB 24409-2020)，该标准适用于除腻子以外的各类汽车原厂涂料、汽车修补用涂料、轨道交通车辆涂料、摩托车（含电动摩托车）涂料、自行车（含电动自行车）涂料、其他车辆（专项作业车、低速汽车、挂车等）涂料、车辆用零部件涂料，对水性、溶剂型和辐射固化涂料的VOCs含量限值进行了规定。我国对VOCs治理虽起步晚，但发展势头迅猛，国家层面已出台征收涂料消费税的政策，该政策以VOCs含量420g/L为界，超出限值的涂料产品将统一征收4%的消费税，消费税初衷是通过经济杠杆限制溶剂型涂料的生产，促进节能减排。</w:t>
      </w:r>
    </w:p>
    <w:p>
      <w:pPr>
        <w:ind w:firstLine="480"/>
        <w:rPr>
          <w:rFonts w:cs="Times New Roman"/>
        </w:rPr>
      </w:pPr>
      <w:r>
        <w:rPr>
          <w:rFonts w:hint="eastAsia" w:cs="Times New Roman"/>
        </w:rPr>
        <w:t>对于汽修行业大气污染物的有组织和无组织排放，国家《大气污染物综合排放标准》（GB16297-1996）规定了苯、甲苯、二甲苯、非甲烷总烃最高允许排放速率二级标准值以及无组织排放监控浓度限值，目前大部分没有汽修大气污染物排放地方标准的省市依旧参照GB16297-1996的控制限值进行执法。</w:t>
      </w:r>
    </w:p>
    <w:p>
      <w:pPr>
        <w:ind w:firstLine="480"/>
        <w:rPr>
          <w:rFonts w:cs="Times New Roman"/>
        </w:rPr>
      </w:pPr>
      <w:r>
        <w:rPr>
          <w:rFonts w:hint="eastAsia" w:cs="Times New Roman"/>
        </w:rPr>
        <w:t>汽车喷烤漆房JT/T324-2008规定了喷烤漆房的各项技术要求，其中对于废物排放的要求包括：喷烤漆房应有专用排气净化装置，包括漆雾过滤与废气净化；苯系物等气体排放应符合GB16297和国家现行法规的规定：作业区内1.5m以上（呼吸带）苯系物最高允许浓度应符合GB6514的规定。</w:t>
      </w:r>
    </w:p>
    <w:p>
      <w:pPr>
        <w:ind w:firstLine="480"/>
        <w:rPr>
          <w:rFonts w:hint="eastAsia" w:ascii="宋体" w:hAnsi="宋体"/>
          <w:szCs w:val="21"/>
        </w:rPr>
      </w:pPr>
      <w:r>
        <w:rPr>
          <w:rFonts w:hint="eastAsia" w:cs="Times New Roman"/>
        </w:rPr>
        <w:t>《涂装作业安全规程有机废气净化装置安全技术规定》(GB20101-2006)中针对“活性炭吸附净化装置”，明确提出：活性炭吸附器气体进出口应设置气体浓度检测仪，定时检测气体浓度。当出口有机气体浓度超过设定最大值时，应停止吸附，进行脱附。活性炭吸附器气体进出口的风管上应设置压差计，以测定经过吸附器的气流阻力（压降），从而确定是否需要更换活性炭等相关规定。</w:t>
      </w:r>
    </w:p>
    <w:p>
      <w:pPr>
        <w:pStyle w:val="3"/>
        <w:spacing w:before="326" w:beforeLines="100" w:after="163"/>
        <w:rPr>
          <w:rFonts w:ascii="Times New Roman" w:hAnsi="Times New Roman" w:cs="Times New Roman"/>
        </w:rPr>
      </w:pPr>
      <w:bookmarkStart w:id="28" w:name="_Toc226540401"/>
      <w:r>
        <w:rPr>
          <w:rFonts w:hint="eastAsia" w:ascii="Times New Roman" w:hAnsi="Times New Roman" w:cs="Times New Roman"/>
        </w:rPr>
        <w:t>国内</w:t>
      </w:r>
      <w:r>
        <w:rPr>
          <w:rFonts w:ascii="Times New Roman" w:hAnsi="Times New Roman" w:cs="Times New Roman"/>
        </w:rPr>
        <w:t>排放标准</w:t>
      </w:r>
      <w:bookmarkEnd w:id="28"/>
    </w:p>
    <w:p>
      <w:pPr>
        <w:ind w:firstLine="480"/>
        <w:rPr>
          <w:rFonts w:cs="Times New Roman"/>
        </w:rPr>
      </w:pPr>
      <w:r>
        <w:rPr>
          <w:rFonts w:hint="eastAsia"/>
          <w:kern w:val="0"/>
        </w:rPr>
        <w:t>地方省市层面，目前</w:t>
      </w:r>
      <w:r>
        <w:rPr>
          <w:rFonts w:hint="eastAsia" w:cs="Times New Roman"/>
        </w:rPr>
        <w:t>安徽、北京、河南、江苏、上海、深圳、天津、重庆已颁布汽车维修行业大气污染物排放及涂料VOCs含量限值的地方标准（见表3-9），对涂料VOCs含量限值、有组织排放控制、无组织排放控制、工艺措施与管理、监测要求等制定了相关标准和控制要求。</w:t>
      </w:r>
    </w:p>
    <w:p>
      <w:pPr>
        <w:ind w:firstLine="0" w:firstLineChars="0"/>
        <w:jc w:val="center"/>
        <w:rPr>
          <w:b/>
          <w:sz w:val="21"/>
          <w:szCs w:val="21"/>
        </w:rPr>
      </w:pPr>
      <w:r>
        <w:rPr>
          <w:rFonts w:hint="eastAsia"/>
          <w:b/>
          <w:sz w:val="21"/>
          <w:szCs w:val="21"/>
        </w:rPr>
        <w:t>表3-9 国内现有汽车维修行业大气污染物排放标准规范</w:t>
      </w:r>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2470"/>
        <w:gridCol w:w="2128"/>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33"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地区</w:t>
            </w:r>
          </w:p>
        </w:tc>
        <w:tc>
          <w:tcPr>
            <w:tcW w:w="247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标准名称</w:t>
            </w:r>
          </w:p>
        </w:tc>
        <w:tc>
          <w:tcPr>
            <w:tcW w:w="2128"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代码</w:t>
            </w:r>
          </w:p>
        </w:tc>
        <w:tc>
          <w:tcPr>
            <w:tcW w:w="2991"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安徽</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《汽车维修行业大气污染物排放标准》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34/4808-2024</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涂料VOCs含量限值、有组织排放控制、无组织排放控制、工艺措施与管理、监测要求等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北京</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《汽车维修业大气污染物排放标准》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11/1228-2025</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涂料VOCs含量限值、有组织排放控制、无组织排放控制、工艺措施与管理、监测、吸附剂（活性炭）更换要求等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河南</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《工业涂装工序挥发性有机物排放标准》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41/1951-2020</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汽车修理与维护（08111）挥发性有机物排放控制、监测要求等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江苏</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《汽车维修行业大气污染物排放标准》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32/3814-2020</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有组织排放控制、无组织排放控制、工艺措施与管理、监测要求等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上海</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《汽车维修行业大气污染物排放标准》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31/1288-2021</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涂料VOCs含量限值、有组织排放控制、无组织排放控制、工艺措施与管理、监测要求等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深圳</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《汽车维修行业喷漆涂料及排放废气中挥发性有机物含量限值》</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SZJG 50-2015</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涂料VOCs含量限值、有组织排放控制、无组织排放控制、工艺措施与管理、监测要求等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天津</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《工业企业挥发性有机物排放控制标准》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12/524-2020</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汽车修理与维护（08111）挥发性有机物排放控制、监测要求等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重庆</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《汽车维修行业大气污染物排放标准》</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DB 50/661-2016</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有组织排放控制、无组织排放控制、工艺措施与管理、监测要求、自愿性排放限值等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33"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香港</w:t>
            </w:r>
          </w:p>
        </w:tc>
        <w:tc>
          <w:tcPr>
            <w:tcW w:w="247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《挥发性有机化合物规例》</w:t>
            </w:r>
          </w:p>
        </w:tc>
        <w:tc>
          <w:tcPr>
            <w:tcW w:w="2128"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w:t>
            </w:r>
          </w:p>
        </w:tc>
        <w:tc>
          <w:tcPr>
            <w:tcW w:w="2991"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受规管汽车修补漆料的挥发性有机化合物含量限值</w:t>
            </w:r>
          </w:p>
        </w:tc>
      </w:tr>
    </w:tbl>
    <w:p>
      <w:pPr>
        <w:ind w:firstLine="480"/>
        <w:rPr>
          <w:rFonts w:cs="Times New Roman"/>
        </w:rPr>
      </w:pPr>
      <w:r>
        <w:rPr>
          <w:rFonts w:hint="eastAsia" w:cs="Times New Roman"/>
          <w:szCs w:val="21"/>
        </w:rPr>
        <w:t>安徽、北京、江苏、上海和重庆标准选择了苯、苯系物、非甲烷总烃和颗粒物（北京无颗粒物指标）作为控制指标，河南和天津选择了苯、非甲烷总烃、甲苯和二甲苯作为控制指标，深圳选择了苯、甲苯和二甲苯与VOCs作为控制指标。苯浓度限值中，安徽、北京、江苏、上海为0.5 mg/m3，其余省市均为1 mg/m3；苯系物浓度限值中，重庆市城市建成区和其他区域分别为30 mg/m3和35 mg/m3，其余省市均为10mg/m3；非甲烷总烃浓度限值中，重庆市城市建成区和其他区域分别为50 mg/m3和60 mg/m3，河南和天津分别为50 mg/m3和40 mg/m3，其余省市均为20mg/m3；甲苯和二甲苯浓度</w:t>
      </w:r>
      <w:r>
        <w:rPr>
          <w:rFonts w:hint="eastAsia" w:cs="Times New Roman"/>
        </w:rPr>
        <w:t>限值，仅河南、深圳和天津规定了该限值，分别为20</w:t>
      </w:r>
      <w:r>
        <w:rPr>
          <w:rFonts w:hint="eastAsia" w:cs="Times New Roman"/>
          <w:bCs/>
        </w:rPr>
        <w:t xml:space="preserve"> mg/m</w:t>
      </w:r>
      <w:r>
        <w:rPr>
          <w:rFonts w:hint="eastAsia" w:cs="Times New Roman"/>
          <w:bCs/>
          <w:vertAlign w:val="superscript"/>
        </w:rPr>
        <w:t>3</w:t>
      </w:r>
      <w:r>
        <w:rPr>
          <w:rFonts w:hint="eastAsia" w:cs="Times New Roman"/>
        </w:rPr>
        <w:t>、18</w:t>
      </w:r>
      <w:r>
        <w:rPr>
          <w:rFonts w:hint="eastAsia" w:cs="Times New Roman"/>
          <w:bCs/>
        </w:rPr>
        <w:t xml:space="preserve"> mg/m</w:t>
      </w:r>
      <w:r>
        <w:rPr>
          <w:rFonts w:hint="eastAsia" w:cs="Times New Roman"/>
          <w:bCs/>
          <w:vertAlign w:val="superscript"/>
        </w:rPr>
        <w:t>3</w:t>
      </w:r>
      <w:r>
        <w:rPr>
          <w:rFonts w:hint="eastAsia" w:cs="Times New Roman"/>
        </w:rPr>
        <w:t>和20</w:t>
      </w:r>
      <w:r>
        <w:rPr>
          <w:rFonts w:hint="eastAsia" w:cs="Times New Roman"/>
          <w:bCs/>
        </w:rPr>
        <w:t xml:space="preserve"> mg/m</w:t>
      </w:r>
      <w:r>
        <w:rPr>
          <w:rFonts w:hint="eastAsia" w:cs="Times New Roman"/>
          <w:bCs/>
          <w:vertAlign w:val="superscript"/>
        </w:rPr>
        <w:t>3</w:t>
      </w:r>
      <w:r>
        <w:rPr>
          <w:rFonts w:hint="eastAsia" w:cs="Times New Roman"/>
        </w:rPr>
        <w:t>；VOCs浓度限值仅深圳进行了规定，为75</w:t>
      </w:r>
      <w:r>
        <w:rPr>
          <w:rFonts w:hint="eastAsia" w:cs="Times New Roman"/>
          <w:bCs/>
        </w:rPr>
        <w:t xml:space="preserve"> mg/m</w:t>
      </w:r>
      <w:r>
        <w:rPr>
          <w:rFonts w:hint="eastAsia" w:cs="Times New Roman"/>
          <w:bCs/>
          <w:vertAlign w:val="superscript"/>
        </w:rPr>
        <w:t>3</w:t>
      </w:r>
      <w:r>
        <w:rPr>
          <w:rFonts w:hint="eastAsia" w:cs="Times New Roman"/>
        </w:rPr>
        <w:t>；天津对总反应活性挥发性有机物（TRVOC）浓度限值仅深圳进行了规定，为50</w:t>
      </w:r>
      <w:r>
        <w:rPr>
          <w:rFonts w:hint="eastAsia" w:cs="Times New Roman"/>
          <w:bCs/>
        </w:rPr>
        <w:t xml:space="preserve"> mg/m</w:t>
      </w:r>
      <w:r>
        <w:rPr>
          <w:rFonts w:hint="eastAsia" w:cs="Times New Roman"/>
          <w:bCs/>
          <w:vertAlign w:val="superscript"/>
        </w:rPr>
        <w:t>3</w:t>
      </w:r>
      <w:r>
        <w:rPr>
          <w:rFonts w:hint="eastAsia" w:cs="Times New Roman"/>
        </w:rPr>
        <w:t>；颗粒物浓度限值中，除重庆市其他区域为20</w:t>
      </w:r>
      <w:r>
        <w:rPr>
          <w:rFonts w:hint="eastAsia" w:cs="Times New Roman"/>
          <w:bCs/>
        </w:rPr>
        <w:t xml:space="preserve"> mg/m</w:t>
      </w:r>
      <w:r>
        <w:rPr>
          <w:rFonts w:hint="eastAsia" w:cs="Times New Roman"/>
          <w:bCs/>
          <w:vertAlign w:val="superscript"/>
        </w:rPr>
        <w:t>3</w:t>
      </w:r>
      <w:r>
        <w:rPr>
          <w:rFonts w:hint="eastAsia" w:cs="Times New Roman"/>
        </w:rPr>
        <w:t>，其余均为10</w:t>
      </w:r>
      <w:r>
        <w:rPr>
          <w:rFonts w:hint="eastAsia" w:cs="Times New Roman"/>
          <w:bCs/>
        </w:rPr>
        <w:t>mg/m</w:t>
      </w:r>
      <w:r>
        <w:rPr>
          <w:rFonts w:hint="eastAsia" w:cs="Times New Roman"/>
          <w:bCs/>
          <w:vertAlign w:val="superscript"/>
        </w:rPr>
        <w:t>3</w:t>
      </w:r>
      <w:r>
        <w:rPr>
          <w:rFonts w:hint="eastAsia" w:cs="Times New Roman"/>
        </w:rPr>
        <w:t>。</w:t>
      </w:r>
    </w:p>
    <w:p>
      <w:pPr>
        <w:ind w:firstLine="480"/>
        <w:rPr>
          <w:rFonts w:cs="Times New Roman"/>
        </w:rPr>
      </w:pPr>
      <w:r>
        <w:rPr>
          <w:rFonts w:hint="eastAsia" w:cs="Times New Roman"/>
        </w:rPr>
        <w:t>安徽和北京还单独针对VOCs燃烧装置大气污染物排放限值进行了规定，安徽规定二氧化硫和氮氧化物限值分别为50</w:t>
      </w:r>
      <w:r>
        <w:rPr>
          <w:rFonts w:hint="eastAsia" w:cs="Times New Roman"/>
          <w:bCs/>
        </w:rPr>
        <w:t xml:space="preserve"> mg/m</w:t>
      </w:r>
      <w:r>
        <w:rPr>
          <w:rFonts w:hint="eastAsia" w:cs="Times New Roman"/>
          <w:bCs/>
          <w:vertAlign w:val="superscript"/>
        </w:rPr>
        <w:t>3</w:t>
      </w:r>
      <w:r>
        <w:rPr>
          <w:rFonts w:hint="eastAsia" w:cs="Times New Roman"/>
        </w:rPr>
        <w:t>和150</w:t>
      </w:r>
      <w:r>
        <w:rPr>
          <w:rFonts w:hint="eastAsia" w:cs="Times New Roman"/>
          <w:bCs/>
        </w:rPr>
        <w:t xml:space="preserve"> mg/m</w:t>
      </w:r>
      <w:r>
        <w:rPr>
          <w:rFonts w:hint="eastAsia" w:cs="Times New Roman"/>
          <w:bCs/>
          <w:vertAlign w:val="superscript"/>
        </w:rPr>
        <w:t>3</w:t>
      </w:r>
      <w:r>
        <w:rPr>
          <w:rFonts w:hint="eastAsia" w:cs="Times New Roman"/>
        </w:rPr>
        <w:t>；北京规定颗粒物、二氧化硫和氮氧化物限值分别为5</w:t>
      </w:r>
      <w:r>
        <w:rPr>
          <w:rFonts w:hint="eastAsia" w:cs="Times New Roman"/>
          <w:bCs/>
        </w:rPr>
        <w:t xml:space="preserve"> mg/m</w:t>
      </w:r>
      <w:r>
        <w:rPr>
          <w:rFonts w:hint="eastAsia" w:cs="Times New Roman"/>
          <w:bCs/>
          <w:vertAlign w:val="superscript"/>
        </w:rPr>
        <w:t>3</w:t>
      </w:r>
      <w:r>
        <w:rPr>
          <w:rFonts w:hint="eastAsia" w:cs="Times New Roman"/>
        </w:rPr>
        <w:t>、10</w:t>
      </w:r>
      <w:r>
        <w:rPr>
          <w:rFonts w:hint="eastAsia" w:cs="Times New Roman"/>
          <w:bCs/>
        </w:rPr>
        <w:t xml:space="preserve"> mg/m</w:t>
      </w:r>
      <w:r>
        <w:rPr>
          <w:rFonts w:hint="eastAsia" w:cs="Times New Roman"/>
          <w:bCs/>
          <w:vertAlign w:val="superscript"/>
        </w:rPr>
        <w:t>3</w:t>
      </w:r>
      <w:r>
        <w:rPr>
          <w:rFonts w:hint="eastAsia" w:cs="Times New Roman"/>
        </w:rPr>
        <w:t>和80</w:t>
      </w:r>
      <w:r>
        <w:rPr>
          <w:rFonts w:hint="eastAsia" w:cs="Times New Roman"/>
          <w:bCs/>
        </w:rPr>
        <w:t xml:space="preserve"> mg/m</w:t>
      </w:r>
      <w:r>
        <w:rPr>
          <w:rFonts w:hint="eastAsia" w:cs="Times New Roman"/>
          <w:bCs/>
          <w:vertAlign w:val="superscript"/>
        </w:rPr>
        <w:t>3</w:t>
      </w:r>
      <w:r>
        <w:rPr>
          <w:rFonts w:hint="eastAsia" w:cs="Times New Roman"/>
        </w:rPr>
        <w:t>。</w:t>
      </w:r>
    </w:p>
    <w:p>
      <w:pPr>
        <w:ind w:firstLine="0" w:firstLineChars="0"/>
        <w:jc w:val="center"/>
        <w:rPr>
          <w:b/>
          <w:sz w:val="21"/>
          <w:szCs w:val="21"/>
        </w:rPr>
      </w:pPr>
      <w:r>
        <w:rPr>
          <w:rFonts w:hint="eastAsia"/>
          <w:b/>
          <w:sz w:val="21"/>
          <w:szCs w:val="21"/>
        </w:rPr>
        <w:t>表3-10 喷烤漆房排气筒大气污染物排放浓度限值（单位：mg/m</w:t>
      </w:r>
      <w:r>
        <w:rPr>
          <w:rFonts w:hint="eastAsia"/>
          <w:b/>
          <w:sz w:val="21"/>
          <w:szCs w:val="21"/>
          <w:vertAlign w:val="superscript"/>
        </w:rPr>
        <w:t>3</w:t>
      </w:r>
      <w:r>
        <w:rPr>
          <w:rFonts w:hint="eastAsia"/>
          <w:b/>
          <w:sz w:val="21"/>
          <w:szCs w:val="21"/>
        </w:rPr>
        <w:t>）</w:t>
      </w:r>
    </w:p>
    <w:tbl>
      <w:tblPr>
        <w:tblStyle w:val="33"/>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560"/>
        <w:gridCol w:w="560"/>
        <w:gridCol w:w="560"/>
        <w:gridCol w:w="560"/>
        <w:gridCol w:w="560"/>
        <w:gridCol w:w="560"/>
        <w:gridCol w:w="560"/>
        <w:gridCol w:w="994"/>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污染物</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安徽</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北京</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河南</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江苏</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上海</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深圳</w:t>
            </w:r>
          </w:p>
        </w:tc>
        <w:tc>
          <w:tcPr>
            <w:tcW w:w="560"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天津</w:t>
            </w:r>
          </w:p>
        </w:tc>
        <w:tc>
          <w:tcPr>
            <w:tcW w:w="2837" w:type="dxa"/>
            <w:gridSpan w:val="3"/>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14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560"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城市建成区</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其他区域</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推荐限值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苯</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0.5</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0.5</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0.5</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0.5</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苯系物</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30</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35</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非甲烷总烃</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50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40</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50</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60</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甲苯和二甲苯</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18</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VOCs</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75</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TRVOC</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50</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颗粒物</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60"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994"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c>
          <w:tcPr>
            <w:tcW w:w="99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85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10</w:t>
            </w:r>
          </w:p>
        </w:tc>
      </w:tr>
    </w:tbl>
    <w:p>
      <w:pPr>
        <w:ind w:firstLine="480"/>
        <w:rPr>
          <w:rFonts w:cs="Times New Roman"/>
        </w:rPr>
      </w:pPr>
      <w:r>
        <w:rPr>
          <w:rFonts w:hint="eastAsia" w:cs="Times New Roman"/>
        </w:rPr>
        <w:t>安徽、北京、河南、江苏、上海、天津均设置了厂区内的污染物浓度限值，深圳和天津</w:t>
      </w:r>
      <w:r>
        <w:rPr>
          <w:rFonts w:hint="eastAsia" w:cs="Times New Roman"/>
          <w:bCs/>
        </w:rPr>
        <w:t>按照HJ/T 55</w:t>
      </w:r>
      <w:r>
        <w:rPr>
          <w:rFonts w:cs="Times New Roman"/>
          <w:bCs/>
        </w:rPr>
        <w:t>设置无组织排放监测点，为厂界浓度限值</w:t>
      </w:r>
      <w:r>
        <w:rPr>
          <w:rFonts w:hint="eastAsia" w:cs="Times New Roman"/>
          <w:bCs/>
        </w:rPr>
        <w:t>。除深圳外，其余省市地方标准均设置了非甲烷总烃浓度限值，河南和天津非封闭厂房小时均值为6 mg/m</w:t>
      </w:r>
      <w:r>
        <w:rPr>
          <w:rFonts w:hint="eastAsia" w:cs="Times New Roman"/>
          <w:bCs/>
          <w:vertAlign w:val="superscript"/>
        </w:rPr>
        <w:t>3</w:t>
      </w:r>
      <w:r>
        <w:rPr>
          <w:rFonts w:hint="eastAsia" w:cs="Times New Roman"/>
          <w:bCs/>
        </w:rPr>
        <w:t>，其余均为2 mg/m</w:t>
      </w:r>
      <w:r>
        <w:rPr>
          <w:rFonts w:hint="eastAsia" w:cs="Times New Roman"/>
          <w:bCs/>
          <w:vertAlign w:val="superscript"/>
        </w:rPr>
        <w:t>3</w:t>
      </w:r>
      <w:r>
        <w:rPr>
          <w:rFonts w:hint="eastAsia" w:cs="Times New Roman"/>
          <w:bCs/>
        </w:rPr>
        <w:t>；河南瞬时值为20 mg/m</w:t>
      </w:r>
      <w:r>
        <w:rPr>
          <w:rFonts w:hint="eastAsia" w:cs="Times New Roman"/>
          <w:bCs/>
          <w:vertAlign w:val="superscript"/>
        </w:rPr>
        <w:t>3</w:t>
      </w:r>
      <w:r>
        <w:rPr>
          <w:rFonts w:hint="eastAsia" w:cs="Times New Roman"/>
          <w:bCs/>
        </w:rPr>
        <w:t>，天津封闭和非封闭厂房分别为4 mg/m</w:t>
      </w:r>
      <w:r>
        <w:rPr>
          <w:rFonts w:hint="eastAsia" w:cs="Times New Roman"/>
          <w:bCs/>
          <w:vertAlign w:val="superscript"/>
        </w:rPr>
        <w:t>3</w:t>
      </w:r>
      <w:r>
        <w:rPr>
          <w:rFonts w:hint="eastAsia" w:cs="Times New Roman"/>
          <w:bCs/>
        </w:rPr>
        <w:t>和20 mg/m</w:t>
      </w:r>
      <w:r>
        <w:rPr>
          <w:rFonts w:hint="eastAsia" w:cs="Times New Roman"/>
          <w:bCs/>
          <w:vertAlign w:val="superscript"/>
        </w:rPr>
        <w:t>3</w:t>
      </w:r>
      <w:r>
        <w:rPr>
          <w:rFonts w:hint="eastAsia" w:cs="Times New Roman"/>
          <w:bCs/>
        </w:rPr>
        <w:t>，其余均为8 mg/m</w:t>
      </w:r>
      <w:r>
        <w:rPr>
          <w:rFonts w:hint="eastAsia" w:cs="Times New Roman"/>
          <w:bCs/>
          <w:vertAlign w:val="superscript"/>
        </w:rPr>
        <w:t>3</w:t>
      </w:r>
      <w:r>
        <w:rPr>
          <w:rFonts w:hint="eastAsia" w:cs="Times New Roman"/>
          <w:bCs/>
        </w:rPr>
        <w:t>。北京、江苏、重庆设置了苯系物和颗粒物浓度限值，均为1 mg/m</w:t>
      </w:r>
      <w:r>
        <w:rPr>
          <w:rFonts w:hint="eastAsia" w:cs="Times New Roman"/>
          <w:bCs/>
          <w:vertAlign w:val="superscript"/>
        </w:rPr>
        <w:t>3</w:t>
      </w:r>
      <w:r>
        <w:rPr>
          <w:rFonts w:hint="eastAsia" w:cs="Times New Roman"/>
          <w:bCs/>
        </w:rPr>
        <w:t>，北京、江苏、深圳、重庆设置了苯浓度限值，为0.1 mg/m</w:t>
      </w:r>
      <w:r>
        <w:rPr>
          <w:rFonts w:hint="eastAsia" w:cs="Times New Roman"/>
          <w:bCs/>
          <w:vertAlign w:val="superscript"/>
        </w:rPr>
        <w:t>3</w:t>
      </w:r>
      <w:r>
        <w:rPr>
          <w:rFonts w:hint="eastAsia" w:cs="Times New Roman"/>
          <w:bCs/>
        </w:rPr>
        <w:t>。甲苯、二甲苯、VOCs浓度限值仅深圳进行了设置，分别为0.6 mg/m</w:t>
      </w:r>
      <w:r>
        <w:rPr>
          <w:rFonts w:hint="eastAsia" w:cs="Times New Roman"/>
          <w:bCs/>
          <w:vertAlign w:val="superscript"/>
        </w:rPr>
        <w:t>3</w:t>
      </w:r>
      <w:r>
        <w:rPr>
          <w:rFonts w:hint="eastAsia" w:cs="Times New Roman"/>
          <w:bCs/>
        </w:rPr>
        <w:t>、0.2 mg/m</w:t>
      </w:r>
      <w:r>
        <w:rPr>
          <w:rFonts w:hint="eastAsia" w:cs="Times New Roman"/>
          <w:bCs/>
          <w:vertAlign w:val="superscript"/>
        </w:rPr>
        <w:t>3</w:t>
      </w:r>
      <w:r>
        <w:rPr>
          <w:rFonts w:hint="eastAsia" w:cs="Times New Roman"/>
          <w:bCs/>
        </w:rPr>
        <w:t>、1.8 mg/m</w:t>
      </w:r>
      <w:r>
        <w:rPr>
          <w:rFonts w:hint="eastAsia" w:cs="Times New Roman"/>
          <w:bCs/>
          <w:vertAlign w:val="superscript"/>
        </w:rPr>
        <w:t>3</w:t>
      </w:r>
      <w:r>
        <w:rPr>
          <w:rFonts w:hint="eastAsia" w:cs="Times New Roman"/>
          <w:bCs/>
        </w:rPr>
        <w:t>。</w:t>
      </w:r>
    </w:p>
    <w:p>
      <w:pPr>
        <w:ind w:firstLine="0" w:firstLineChars="0"/>
        <w:jc w:val="center"/>
        <w:rPr>
          <w:b/>
          <w:sz w:val="21"/>
          <w:szCs w:val="21"/>
        </w:rPr>
      </w:pPr>
      <w:r>
        <w:rPr>
          <w:rFonts w:hint="eastAsia"/>
          <w:b/>
          <w:sz w:val="21"/>
          <w:szCs w:val="21"/>
        </w:rPr>
        <w:t>表3-11 无组织排放监测点浓度限值（单位：mg/m</w:t>
      </w:r>
      <w:r>
        <w:rPr>
          <w:rFonts w:hint="eastAsia"/>
          <w:b/>
          <w:sz w:val="21"/>
          <w:szCs w:val="21"/>
          <w:vertAlign w:val="superscript"/>
        </w:rPr>
        <w:t>3</w:t>
      </w:r>
      <w:r>
        <w:rPr>
          <w:rFonts w:hint="eastAsia"/>
          <w:b/>
          <w:sz w:val="21"/>
          <w:szCs w:val="21"/>
        </w:rPr>
        <w:t>）</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33"/>
        <w:gridCol w:w="543"/>
        <w:gridCol w:w="533"/>
        <w:gridCol w:w="543"/>
        <w:gridCol w:w="533"/>
        <w:gridCol w:w="543"/>
        <w:gridCol w:w="511"/>
        <w:gridCol w:w="532"/>
        <w:gridCol w:w="543"/>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污染物</w:t>
            </w:r>
          </w:p>
        </w:tc>
        <w:tc>
          <w:tcPr>
            <w:tcW w:w="53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安徽</w:t>
            </w:r>
          </w:p>
        </w:tc>
        <w:tc>
          <w:tcPr>
            <w:tcW w:w="54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北京</w:t>
            </w:r>
          </w:p>
        </w:tc>
        <w:tc>
          <w:tcPr>
            <w:tcW w:w="53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河南</w:t>
            </w:r>
          </w:p>
        </w:tc>
        <w:tc>
          <w:tcPr>
            <w:tcW w:w="54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江苏</w:t>
            </w:r>
          </w:p>
        </w:tc>
        <w:tc>
          <w:tcPr>
            <w:tcW w:w="53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上海</w:t>
            </w:r>
          </w:p>
        </w:tc>
        <w:tc>
          <w:tcPr>
            <w:tcW w:w="54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深圳</w:t>
            </w:r>
          </w:p>
        </w:tc>
        <w:tc>
          <w:tcPr>
            <w:tcW w:w="1043" w:type="dxa"/>
            <w:gridSpan w:val="2"/>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天津</w:t>
            </w:r>
          </w:p>
        </w:tc>
        <w:tc>
          <w:tcPr>
            <w:tcW w:w="54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重庆</w:t>
            </w:r>
          </w:p>
        </w:tc>
        <w:tc>
          <w:tcPr>
            <w:tcW w:w="2169"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限值含义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31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3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4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3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4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3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4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b/>
                <w:bCs/>
                <w:color w:val="000000"/>
                <w:kern w:val="0"/>
                <w:sz w:val="21"/>
              </w:rPr>
            </w:pPr>
            <w:r>
              <w:rPr>
                <w:rFonts w:hint="eastAsia" w:cs="Times New Roman"/>
                <w:b/>
                <w:bCs/>
                <w:color w:val="000000"/>
                <w:kern w:val="0"/>
                <w:sz w:val="21"/>
              </w:rPr>
              <w:t>*</w:t>
            </w:r>
          </w:p>
        </w:tc>
        <w:tc>
          <w:tcPr>
            <w:tcW w:w="54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苯</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0.1</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0.1</w:t>
            </w:r>
          </w:p>
        </w:tc>
        <w:tc>
          <w:tcPr>
            <w:tcW w:w="2169"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监测点处1小时平均浓度值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苯系物</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甲苯</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0.6</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二甲苯</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0.2</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VOCs</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1.8</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颗粒物</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1</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Merge w:val="restart"/>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非甲烷总烃</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6</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6</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w:t>
            </w:r>
          </w:p>
        </w:tc>
        <w:tc>
          <w:tcPr>
            <w:tcW w:w="2169"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13" w:type="dxa"/>
            <w:vMerge w:val="continue"/>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8</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8</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8</w:t>
            </w:r>
          </w:p>
        </w:tc>
        <w:tc>
          <w:tcPr>
            <w:tcW w:w="53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8</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511"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4</w:t>
            </w:r>
          </w:p>
        </w:tc>
        <w:tc>
          <w:tcPr>
            <w:tcW w:w="532"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20</w:t>
            </w:r>
          </w:p>
        </w:tc>
        <w:tc>
          <w:tcPr>
            <w:tcW w:w="543"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w:t>
            </w:r>
          </w:p>
        </w:tc>
        <w:tc>
          <w:tcPr>
            <w:tcW w:w="2169" w:type="dxa"/>
            <w:vAlign w:val="center"/>
          </w:tcPr>
          <w:p>
            <w:pPr>
              <w:keepNext w:val="0"/>
              <w:keepLines w:val="0"/>
              <w:pageBreakBefore w:val="0"/>
              <w:widowControl w:val="0"/>
              <w:tabs>
                <w:tab w:val="left" w:pos="788"/>
              </w:tabs>
              <w:kinsoku/>
              <w:wordWrap/>
              <w:overflowPunct/>
              <w:topLinePunct w:val="0"/>
              <w:autoSpaceDE/>
              <w:autoSpaceDN/>
              <w:bidi w:val="0"/>
              <w:adjustRightInd/>
              <w:snapToGrid w:val="0"/>
              <w:spacing w:line="240" w:lineRule="auto"/>
              <w:ind w:firstLine="0" w:firstLineChars="0"/>
              <w:jc w:val="center"/>
              <w:textAlignment w:val="auto"/>
              <w:outlineLvl w:val="9"/>
              <w:rPr>
                <w:rFonts w:cs="Times New Roman"/>
                <w:color w:val="000000"/>
                <w:kern w:val="0"/>
                <w:sz w:val="21"/>
              </w:rPr>
            </w:pPr>
            <w:r>
              <w:rPr>
                <w:rFonts w:hint="eastAsia" w:cs="Times New Roman"/>
                <w:color w:val="000000"/>
                <w:kern w:val="0"/>
                <w:sz w:val="21"/>
              </w:rPr>
              <w:t>监测点处任意一次浓度值</w:t>
            </w:r>
          </w:p>
        </w:tc>
      </w:tr>
    </w:tbl>
    <w:p>
      <w:pPr>
        <w:spacing w:line="240" w:lineRule="auto"/>
        <w:ind w:firstLine="0" w:firstLineChars="0"/>
        <w:jc w:val="left"/>
        <w:rPr>
          <w:bCs/>
          <w:kern w:val="0"/>
          <w:sz w:val="18"/>
          <w:szCs w:val="18"/>
        </w:rPr>
      </w:pPr>
      <w:r>
        <w:rPr>
          <w:rFonts w:hint="eastAsia"/>
          <w:bCs/>
          <w:kern w:val="0"/>
          <w:sz w:val="18"/>
          <w:szCs w:val="18"/>
        </w:rPr>
        <w:t>注：*天津地标同时对在非封闭厂房作业的非甲烷总烃无组织排放限值进行了规定（监测点处1小时平均浓度值6mg/m</w:t>
      </w:r>
      <w:r>
        <w:rPr>
          <w:rFonts w:hint="eastAsia"/>
          <w:bCs/>
          <w:kern w:val="0"/>
          <w:sz w:val="18"/>
          <w:szCs w:val="18"/>
          <w:vertAlign w:val="superscript"/>
        </w:rPr>
        <w:t>3</w:t>
      </w:r>
      <w:r>
        <w:rPr>
          <w:rFonts w:hint="eastAsia"/>
          <w:bCs/>
          <w:kern w:val="0"/>
          <w:sz w:val="18"/>
          <w:szCs w:val="18"/>
        </w:rPr>
        <w:t>，监测点处任意一次浓度值20mg/m</w:t>
      </w:r>
      <w:r>
        <w:rPr>
          <w:rFonts w:hint="eastAsia"/>
          <w:bCs/>
          <w:kern w:val="0"/>
          <w:sz w:val="18"/>
          <w:szCs w:val="18"/>
          <w:vertAlign w:val="superscript"/>
        </w:rPr>
        <w:t>3</w:t>
      </w:r>
      <w:r>
        <w:rPr>
          <w:rFonts w:hint="eastAsia"/>
          <w:bCs/>
          <w:kern w:val="0"/>
          <w:sz w:val="18"/>
          <w:szCs w:val="18"/>
        </w:rPr>
        <w:t>）；深圳和重庆按照HJ/T 55设置无组织排放监测点，为厂界浓度限值</w:t>
      </w:r>
    </w:p>
    <w:p>
      <w:pPr>
        <w:ind w:firstLine="480"/>
        <w:rPr>
          <w:rFonts w:cs="Times New Roman"/>
        </w:rPr>
      </w:pPr>
      <w:r>
        <w:rPr>
          <w:rFonts w:hint="eastAsia"/>
          <w:kern w:val="0"/>
        </w:rPr>
        <w:t>北京、上海、安徽、深圳、香港还规定了汽车修补用涂料的VOCs含量限值，</w:t>
      </w:r>
      <w:r>
        <w:rPr>
          <w:rFonts w:hint="eastAsia" w:cs="Times New Roman"/>
        </w:rPr>
        <w:t>以期借助立法迫使维修企业使用水性漆及低VOCs的环保型涂料。整体来看，北京、上海、安徽基本一致，相对偏严，深圳对溶剂型涂料要求相对宽松。</w:t>
      </w:r>
    </w:p>
    <w:p>
      <w:pPr>
        <w:ind w:firstLine="0" w:firstLineChars="0"/>
        <w:jc w:val="center"/>
        <w:rPr>
          <w:b/>
          <w:sz w:val="21"/>
          <w:szCs w:val="21"/>
        </w:rPr>
      </w:pPr>
      <w:r>
        <w:rPr>
          <w:rFonts w:hint="eastAsia"/>
          <w:b/>
          <w:sz w:val="21"/>
          <w:szCs w:val="21"/>
        </w:rPr>
        <w:t>表3-12 涂料挥发性有机物含量限值（单位：g/L）</w:t>
      </w:r>
    </w:p>
    <w:tbl>
      <w:tblPr>
        <w:tblStyle w:val="33"/>
        <w:tblW w:w="7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080"/>
        <w:gridCol w:w="1080"/>
        <w:gridCol w:w="1080"/>
        <w:gridCol w:w="820"/>
        <w:gridCol w:w="136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2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涂料种类</w:t>
            </w:r>
          </w:p>
        </w:tc>
        <w:tc>
          <w:tcPr>
            <w:tcW w:w="108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北京</w:t>
            </w:r>
          </w:p>
        </w:tc>
        <w:tc>
          <w:tcPr>
            <w:tcW w:w="108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上海</w:t>
            </w:r>
          </w:p>
        </w:tc>
        <w:tc>
          <w:tcPr>
            <w:tcW w:w="108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安徽</w:t>
            </w:r>
          </w:p>
        </w:tc>
        <w:tc>
          <w:tcPr>
            <w:tcW w:w="2180" w:type="dxa"/>
            <w:gridSpan w:val="2"/>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涂料种类</w:t>
            </w:r>
          </w:p>
        </w:tc>
        <w:tc>
          <w:tcPr>
            <w:tcW w:w="1080" w:type="dxa"/>
            <w:vAlign w:val="center"/>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2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82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溶剂型涂料</w:t>
            </w: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2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中涂</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8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中涂</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2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色漆（底色漆、本色面漆）</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≤380</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≤380</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c>
          <w:tcPr>
            <w:tcW w:w="8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色漆</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8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清漆</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2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清漆</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c>
          <w:tcPr>
            <w:tcW w:w="108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c>
          <w:tcPr>
            <w:tcW w:w="820" w:type="dxa"/>
            <w:vMerge w:val="restart"/>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水性涂料</w:t>
            </w: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底漆、中涂</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08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820"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6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色漆</w:t>
            </w:r>
          </w:p>
        </w:tc>
        <w:tc>
          <w:tcPr>
            <w:tcW w:w="1080" w:type="dxa"/>
            <w:vAlign w:val="center"/>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bl>
    <w:p>
      <w:pPr>
        <w:ind w:firstLine="0" w:firstLineChars="0"/>
        <w:rPr>
          <w:rFonts w:cs="Times New Roman"/>
        </w:rPr>
      </w:pPr>
    </w:p>
    <w:p>
      <w:pPr>
        <w:ind w:firstLine="480"/>
        <w:rPr>
          <w:rFonts w:cs="Times New Roman"/>
        </w:rPr>
      </w:pPr>
      <w:r>
        <w:rPr>
          <w:rFonts w:hint="eastAsia" w:cs="Times New Roman"/>
        </w:rPr>
        <w:t>香港环境保护署2011年2月发布“应用含低挥发性有机化合物及水溶性汽车修补漆所需设备技术指引”，要求汽车维修行业应符合《空气污染管制（挥发性有机化合物）规例》中汽车修补漆中VOCs含量的禁令及规定。</w:t>
      </w:r>
    </w:p>
    <w:p>
      <w:pPr>
        <w:ind w:firstLine="0" w:firstLineChars="0"/>
        <w:jc w:val="center"/>
        <w:rPr>
          <w:b/>
          <w:sz w:val="21"/>
          <w:szCs w:val="21"/>
        </w:rPr>
      </w:pPr>
      <w:r>
        <w:rPr>
          <w:rFonts w:hint="eastAsia"/>
          <w:b/>
          <w:sz w:val="21"/>
          <w:szCs w:val="21"/>
        </w:rPr>
        <w:t>表3-13 香港受规管汽车修补漆料的挥发性有机化合物含量限值（单位：g/L）</w:t>
      </w:r>
    </w:p>
    <w:tbl>
      <w:tblPr>
        <w:tblStyle w:val="33"/>
        <w:tblW w:w="6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涂料种类</w:t>
            </w:r>
          </w:p>
        </w:tc>
        <w:tc>
          <w:tcPr>
            <w:tcW w:w="3265" w:type="dxa"/>
          </w:tcPr>
          <w:p>
            <w:pPr>
              <w:tabs>
                <w:tab w:val="left" w:pos="788"/>
              </w:tabs>
              <w:spacing w:line="240" w:lineRule="auto"/>
              <w:ind w:firstLine="0" w:firstLineChars="0"/>
              <w:jc w:val="center"/>
              <w:rPr>
                <w:rFonts w:cs="Times New Roman"/>
                <w:b/>
                <w:bCs/>
                <w:color w:val="000000"/>
                <w:kern w:val="0"/>
                <w:sz w:val="21"/>
              </w:rPr>
            </w:pPr>
            <w:r>
              <w:rPr>
                <w:rFonts w:hint="eastAsia" w:cs="Times New Roman"/>
                <w:b/>
                <w:bCs/>
                <w:color w:val="000000"/>
                <w:kern w:val="0"/>
                <w:sz w:val="21"/>
              </w:rPr>
              <w:t>VOC最高限值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黏合促进剂</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透明涂料(非哑光装饰)</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透明涂料(哑光装饰)</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彩色涂料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多彩涂料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预处理涂料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底漆</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单级涂料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临时保护涂料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纹理及柔软效果涂料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卡车货斗衬垫涂料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车身底部涂料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均匀装饰涂料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681"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其他汽车修补涂料</w:t>
            </w:r>
          </w:p>
        </w:tc>
        <w:tc>
          <w:tcPr>
            <w:tcW w:w="3265" w:type="dxa"/>
          </w:tcPr>
          <w:p>
            <w:pPr>
              <w:tabs>
                <w:tab w:val="left" w:pos="788"/>
              </w:tabs>
              <w:spacing w:line="240" w:lineRule="auto"/>
              <w:ind w:firstLine="0" w:firstLineChars="0"/>
              <w:jc w:val="center"/>
              <w:rPr>
                <w:rFonts w:cs="Times New Roman"/>
                <w:color w:val="000000"/>
                <w:kern w:val="0"/>
                <w:sz w:val="21"/>
              </w:rPr>
            </w:pPr>
            <w:r>
              <w:rPr>
                <w:rFonts w:hint="eastAsia" w:cs="Times New Roman"/>
                <w:color w:val="000000"/>
                <w:kern w:val="0"/>
                <w:sz w:val="21"/>
              </w:rPr>
              <w:t>250</w:t>
            </w:r>
          </w:p>
        </w:tc>
      </w:tr>
    </w:tbl>
    <w:p>
      <w:pPr>
        <w:ind w:firstLine="0" w:firstLineChars="0"/>
        <w:rPr>
          <w:rFonts w:cs="Times New Roman"/>
        </w:rPr>
      </w:pPr>
    </w:p>
    <w:p>
      <w:pPr>
        <w:widowControl/>
        <w:spacing w:line="240" w:lineRule="auto"/>
        <w:ind w:firstLine="0" w:firstLineChars="0"/>
        <w:jc w:val="left"/>
        <w:rPr>
          <w:rFonts w:cs="Times New Roman" w:eastAsiaTheme="majorEastAsia"/>
          <w:b/>
          <w:bCs/>
          <w:kern w:val="44"/>
          <w:sz w:val="32"/>
          <w:szCs w:val="44"/>
        </w:rPr>
      </w:pPr>
      <w:r>
        <w:rPr>
          <w:rFonts w:cs="Times New Roman"/>
        </w:rPr>
        <w:br w:type="page"/>
      </w:r>
    </w:p>
    <w:p>
      <w:pPr>
        <w:pStyle w:val="2"/>
        <w:spacing w:before="163" w:after="163"/>
        <w:ind w:left="0" w:firstLine="0"/>
        <w:rPr>
          <w:rFonts w:ascii="Times New Roman" w:hAnsi="Times New Roman" w:cs="Times New Roman"/>
        </w:rPr>
      </w:pPr>
      <w:bookmarkStart w:id="29" w:name="_Toc226540402"/>
      <w:r>
        <w:rPr>
          <w:rFonts w:hint="eastAsia" w:ascii="Times New Roman" w:hAnsi="Times New Roman" w:cs="Times New Roman"/>
        </w:rPr>
        <w:t>汽车维修行业</w:t>
      </w:r>
      <w:r>
        <w:rPr>
          <w:rFonts w:ascii="Times New Roman" w:hAnsi="Times New Roman" w:cs="Times New Roman"/>
        </w:rPr>
        <w:t>产排污情况</w:t>
      </w:r>
      <w:bookmarkEnd w:id="29"/>
    </w:p>
    <w:p>
      <w:pPr>
        <w:pStyle w:val="3"/>
        <w:spacing w:before="163" w:after="163"/>
      </w:pPr>
      <w:bookmarkStart w:id="30" w:name="_Toc226540403"/>
      <w:r>
        <w:t>主要工艺和产排污特征</w:t>
      </w:r>
      <w:bookmarkEnd w:id="30"/>
    </w:p>
    <w:p>
      <w:pPr>
        <w:pStyle w:val="4"/>
        <w:spacing w:before="163" w:after="163"/>
      </w:pPr>
      <w:bookmarkStart w:id="31" w:name="_Toc226540404"/>
      <w:bookmarkStart w:id="32" w:name="OLE_LINK2"/>
      <w:r>
        <w:t>工艺流程</w:t>
      </w:r>
      <w:bookmarkEnd w:id="31"/>
    </w:p>
    <w:p>
      <w:pPr>
        <w:ind w:firstLine="480"/>
      </w:pPr>
      <w:r>
        <w:t>汽车维修行业</w:t>
      </w:r>
      <w:r>
        <w:rPr>
          <w:rFonts w:hint="eastAsia"/>
        </w:rPr>
        <w:t>涉气</w:t>
      </w:r>
      <w:r>
        <w:t>生产工序主要包括修补部位表面处理，打腻子，喷底漆，喷面漆，喷罩光，上蜡打磨等步骤</w:t>
      </w:r>
      <w:r>
        <w:rPr>
          <w:rFonts w:hint="eastAsia"/>
        </w:rPr>
        <w:t>，</w:t>
      </w:r>
      <w:r>
        <w:t>其总的工艺流程见图</w:t>
      </w:r>
      <w:r>
        <w:rPr>
          <w:rFonts w:hint="eastAsia"/>
        </w:rPr>
        <w:t>4.1</w:t>
      </w:r>
      <w:r>
        <w:t>。</w:t>
      </w:r>
    </w:p>
    <w:p>
      <w:pPr>
        <w:topLinePunct/>
        <w:spacing w:before="163" w:line="240" w:lineRule="auto"/>
        <w:ind w:firstLine="0" w:firstLineChars="0"/>
        <w:jc w:val="center"/>
        <w:rPr>
          <w:rFonts w:cs="Times New Roman"/>
        </w:rPr>
      </w:pPr>
      <w:r>
        <w:rPr>
          <w:rFonts w:cs="Times New Roman"/>
        </w:rPr>
        <w:drawing>
          <wp:inline distT="0" distB="0" distL="0" distR="0">
            <wp:extent cx="5260975" cy="2327910"/>
            <wp:effectExtent l="0" t="0" r="0" b="0"/>
            <wp:docPr id="1251567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67546" name="图片 1"/>
                    <pic:cNvPicPr>
                      <a:picLocks noChangeAspect="1" noChangeArrowheads="1"/>
                    </pic:cNvPicPr>
                  </pic:nvPicPr>
                  <pic:blipFill>
                    <a:blip r:embed="rId16">
                      <a:extLst>
                        <a:ext uri="{28A0092B-C50C-407E-A947-70E740481C1C}">
                          <a14:useLocalDpi xmlns:a14="http://schemas.microsoft.com/office/drawing/2010/main" val="0"/>
                        </a:ext>
                      </a:extLst>
                    </a:blip>
                    <a:srcRect l="2420" r="2822" b="6494"/>
                    <a:stretch>
                      <a:fillRect/>
                    </a:stretch>
                  </pic:blipFill>
                  <pic:spPr>
                    <a:xfrm>
                      <a:off x="0" y="0"/>
                      <a:ext cx="5261086" cy="2328530"/>
                    </a:xfrm>
                    <a:prstGeom prst="rect">
                      <a:avLst/>
                    </a:prstGeom>
                    <a:noFill/>
                    <a:ln>
                      <a:noFill/>
                    </a:ln>
                  </pic:spPr>
                </pic:pic>
              </a:graphicData>
            </a:graphic>
          </wp:inline>
        </w:drawing>
      </w:r>
    </w:p>
    <w:p>
      <w:pPr>
        <w:spacing w:after="326" w:afterLines="100" w:line="240" w:lineRule="auto"/>
        <w:ind w:firstLine="0" w:firstLineChars="0"/>
        <w:jc w:val="center"/>
        <w:rPr>
          <w:rFonts w:cs="Times New Roman"/>
          <w:szCs w:val="21"/>
        </w:rPr>
      </w:pPr>
      <w:r>
        <w:rPr>
          <w:rFonts w:cs="Times New Roman"/>
          <w:b/>
          <w:sz w:val="21"/>
          <w:szCs w:val="21"/>
        </w:rPr>
        <w:t>图</w:t>
      </w:r>
      <w:r>
        <w:rPr>
          <w:rFonts w:hint="eastAsia" w:cs="Times New Roman"/>
          <w:b/>
          <w:sz w:val="21"/>
          <w:szCs w:val="21"/>
        </w:rPr>
        <w:t xml:space="preserve">4.1 </w:t>
      </w:r>
      <w:r>
        <w:rPr>
          <w:rFonts w:cs="Times New Roman"/>
          <w:b/>
          <w:sz w:val="21"/>
          <w:szCs w:val="21"/>
        </w:rPr>
        <w:t>汽车</w:t>
      </w:r>
      <w:r>
        <w:rPr>
          <w:rFonts w:hint="eastAsia" w:cs="Times New Roman"/>
          <w:b/>
          <w:sz w:val="21"/>
          <w:szCs w:val="21"/>
        </w:rPr>
        <w:t>修补工艺产排污节点示意图（图片来源：</w:t>
      </w:r>
      <w:r>
        <w:rPr>
          <w:rFonts w:cs="Times New Roman"/>
          <w:b/>
          <w:sz w:val="21"/>
          <w:szCs w:val="21"/>
        </w:rPr>
        <w:t>《汽车维修行业大气污染防治可行技术指南》</w:t>
      </w:r>
      <w:r>
        <w:rPr>
          <w:rFonts w:hint="eastAsia" w:cs="Times New Roman"/>
          <w:b/>
          <w:sz w:val="21"/>
          <w:szCs w:val="21"/>
        </w:rPr>
        <w:t>）</w:t>
      </w:r>
    </w:p>
    <w:p>
      <w:pPr>
        <w:pStyle w:val="5"/>
        <w:numPr>
          <w:ilvl w:val="0"/>
          <w:numId w:val="0"/>
        </w:numPr>
        <w:spacing w:before="163"/>
      </w:pPr>
      <w:bookmarkStart w:id="33" w:name="_Toc226540405"/>
      <w:r>
        <w:rPr>
          <w:rFonts w:hint="eastAsia" w:cs="Times New Roman"/>
          <w:szCs w:val="21"/>
        </w:rPr>
        <w:t>（1）</w:t>
      </w:r>
      <w:r>
        <w:rPr>
          <w:rFonts w:hint="eastAsia"/>
        </w:rPr>
        <w:t>表面处理</w:t>
      </w:r>
      <w:bookmarkEnd w:id="33"/>
    </w:p>
    <w:p>
      <w:pPr>
        <w:ind w:firstLine="480"/>
      </w:pPr>
      <w:r>
        <w:t>表面处理一般包括钣金、清洗、彻底清除已遭破坏的漆膜、打磨除锈以及最后清洗等工艺；受损较严重的车辆（如碰撞引起的表面凹陷）表面处理步骤：</w:t>
      </w:r>
    </w:p>
    <w:p>
      <w:pPr>
        <w:ind w:firstLine="480"/>
      </w:pPr>
      <w:r>
        <w:rPr>
          <w:rFonts w:hint="eastAsia"/>
        </w:rPr>
        <w:t>①</w:t>
      </w:r>
      <w:r>
        <w:t>通过钣金使车身进行修复，使车身恢复碰撞前的状态；</w:t>
      </w:r>
    </w:p>
    <w:p>
      <w:pPr>
        <w:ind w:firstLine="480"/>
      </w:pPr>
      <w:r>
        <w:rPr>
          <w:rFonts w:hint="eastAsia"/>
        </w:rPr>
        <w:t>②</w:t>
      </w:r>
      <w:r>
        <w:t>清洗受损表面，包括灰尘、油脂等附着物，去除油脂常用的有机溶剂是煤油、汽油、甲苯、二甲苯、三氯乙烯及四氯化碳等，近年来表面活性剂也常用于表面清洗，重庆市汽车维修厂主要以水清洗待修补表面的灰尘/污物，部分附着在旧漆膜表面的污物可以通过打磨去除；</w:t>
      </w:r>
    </w:p>
    <w:p>
      <w:pPr>
        <w:ind w:firstLine="480"/>
      </w:pPr>
      <w:r>
        <w:rPr>
          <w:rFonts w:hint="eastAsia"/>
        </w:rPr>
        <w:t>③</w:t>
      </w:r>
      <w:r>
        <w:t>清洗后的车身要进行打磨（部分车辆在清洗工序后需要对裸露金属进行表面调整，去除可能给金属带来腐蚀的其他污垢，增强基材表面的附着力和整个涂装系统的耐介质性能），打磨的主要作用是除锈以及清除那些旧的、已经遭到破坏了的涂层以及砂薄其周围并未破损的涂层等，打磨可分为机械打磨和手工打磨两类，依照待修补部位的损坏面积及损坏程度选取不同打磨方式、不同规格的砂纸，打磨后的汽车表面通过擦拭去除浮渣。</w:t>
      </w:r>
    </w:p>
    <w:p>
      <w:pPr>
        <w:ind w:firstLine="480"/>
      </w:pPr>
      <w:r>
        <w:t>该工序涉及VOCs排放的主要为表面脱脂，有4种方法：有机溶剂脱脂法、碱液脱脂法、乳化脱脂法、金属清洗剂脱脂法（表</w:t>
      </w:r>
      <w:r>
        <w:rPr>
          <w:rFonts w:hint="eastAsia"/>
        </w:rPr>
        <w:t>4-1</w:t>
      </w:r>
      <w:r>
        <w:t>）。</w:t>
      </w:r>
    </w:p>
    <w:p>
      <w:pPr>
        <w:ind w:firstLine="0" w:firstLineChars="0"/>
        <w:jc w:val="center"/>
        <w:rPr>
          <w:b/>
          <w:sz w:val="21"/>
          <w:szCs w:val="21"/>
        </w:rPr>
      </w:pPr>
      <w:r>
        <w:rPr>
          <w:rFonts w:hint="eastAsia"/>
          <w:b/>
          <w:sz w:val="21"/>
          <w:szCs w:val="21"/>
        </w:rPr>
        <w:t>表4-1 表面脱脂方法概述</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脱脂方法</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方法概述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有机溶剂脱脂法</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石油溶剂（汽油、煤油、柴油）、松节油、甲苯、四氯乙烯等均为常用的有机除油溶剂，操作时一般采用刷洗法。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碱液脱脂法</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常用的碱和碱性盐类有氢氧化钠、碳酸钠、磷酸三钠、硅酸钠、正硅酸钠、偏硅酸钠。碱液除油一般适用于钢铁材料，操作时常采用浸渍、刷洗或喷射方法。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乳化脱脂法</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在有机溶剂中加入表面活性剂，或再添加弱碱性清洗剂组成一种混合液，操作时采用喷射法。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金属清洗剂脱脂法</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有阴离子型和非离子型表面活性剂，按油污类型选择，操作时采用喷射法。</w:t>
            </w:r>
          </w:p>
        </w:tc>
      </w:tr>
    </w:tbl>
    <w:p>
      <w:pPr>
        <w:pStyle w:val="5"/>
        <w:numPr>
          <w:ilvl w:val="0"/>
          <w:numId w:val="0"/>
        </w:numPr>
        <w:spacing w:before="163"/>
      </w:pPr>
      <w:bookmarkStart w:id="34" w:name="_Toc226540406"/>
      <w:r>
        <w:rPr>
          <w:rFonts w:hint="eastAsia" w:cs="Times New Roman"/>
          <w:szCs w:val="21"/>
        </w:rPr>
        <w:t>（2）</w:t>
      </w:r>
      <w:r>
        <w:rPr>
          <w:rFonts w:hint="eastAsia"/>
        </w:rPr>
        <w:t>打腻子</w:t>
      </w:r>
      <w:bookmarkEnd w:id="34"/>
    </w:p>
    <w:p>
      <w:pPr>
        <w:ind w:firstLine="480"/>
      </w:pPr>
      <w:r>
        <w:drawing>
          <wp:anchor distT="0" distB="0" distL="114300" distR="114300" simplePos="0" relativeHeight="251658240" behindDoc="0" locked="0" layoutInCell="1" allowOverlap="1">
            <wp:simplePos x="0" y="0"/>
            <wp:positionH relativeFrom="column">
              <wp:posOffset>770255</wp:posOffset>
            </wp:positionH>
            <wp:positionV relativeFrom="paragraph">
              <wp:posOffset>1711960</wp:posOffset>
            </wp:positionV>
            <wp:extent cx="3767455" cy="2688590"/>
            <wp:effectExtent l="0" t="0" r="4445" b="0"/>
            <wp:wrapTopAndBottom/>
            <wp:docPr id="2064650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50489"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67455" cy="2688590"/>
                    </a:xfrm>
                    <a:prstGeom prst="rect">
                      <a:avLst/>
                    </a:prstGeom>
                    <a:noFill/>
                  </pic:spPr>
                </pic:pic>
              </a:graphicData>
            </a:graphic>
          </wp:anchor>
        </w:drawing>
      </w:r>
      <w:r>
        <w:t>表面处理后的待修补汽车进行第二步工作——打腻子，腻子又被细分为“填眼灰”、“原子灰”等，是为了填平由于各种原因造成的汽车待修补表面的机械凹陷，提高平整度而必不可少的一类辅料；腻子是一种粘稠物质，主要由体质颜料、固化剂（催干剂）、溶剂组成，在使用前按照比例将原子灰与固化剂（催干剂）调配至待用状态，并在规定时间内用完，使用时将调配好的腻子均匀涂抹在待修补表面，用刮板抹平。待腻子晾干后，用打磨机将不平整的地方打磨平滑。</w:t>
      </w:r>
    </w:p>
    <w:p>
      <w:pPr>
        <w:ind w:firstLine="0" w:firstLineChars="0"/>
        <w:jc w:val="center"/>
        <w:rPr>
          <w:rFonts w:cs="Times New Roman"/>
          <w:b/>
          <w:sz w:val="21"/>
          <w:szCs w:val="21"/>
        </w:rPr>
      </w:pPr>
      <w:r>
        <w:rPr>
          <w:rFonts w:hint="eastAsia" w:cs="Times New Roman"/>
          <w:b/>
          <w:sz w:val="21"/>
          <w:szCs w:val="21"/>
        </w:rPr>
        <w:t>图4.2 汽车修补打腻子工序施工图</w:t>
      </w:r>
    </w:p>
    <w:p>
      <w:pPr>
        <w:ind w:firstLine="480"/>
      </w:pPr>
      <w:r>
        <w:t>原子灰为填补基材上较大凹陷、焊缝、裂缝等缺陷所采用的一种腻子，实际上这是一类不饱和聚酯树脂型腻子的通称，具有常温干燥、干燥速度快、附着力好、打磨性能良好、刮涂施工方便，是最常用的修补材料。</w:t>
      </w:r>
    </w:p>
    <w:p>
      <w:pPr>
        <w:ind w:firstLine="0" w:firstLineChars="0"/>
        <w:jc w:val="center"/>
        <w:rPr>
          <w:b/>
          <w:sz w:val="21"/>
          <w:szCs w:val="21"/>
        </w:rPr>
      </w:pPr>
      <w:r>
        <w:rPr>
          <w:rFonts w:hint="eastAsia"/>
          <w:b/>
          <w:sz w:val="21"/>
          <w:szCs w:val="21"/>
        </w:rPr>
        <w:t>表4-2 常用原子灰类型</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类型</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普通原子灰</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多为聚酯树脂型，膏体细腻，操作方便，填充能力强，适合大多数金属钣金件，也可用于塑料件，但刮涂不宜过厚。普通原子灰的使用有一定的局限性，如镀锌板、不锈钢板和铝板等表面附着能力较低，容易造成开裂，使用前要喷涂一层隔绝底漆后才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纤维原子灰</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纤维原子灰含有纤维物质，干燥后质轻但附着力和硬度很高，可以直接填充直径小于50mm的孔洞，并且对于比较深的金属钣金件凹陷部位填补也非常有效，但表面会呈现多孔状，需要用普通原子灰填平。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合金原子灰</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也称金属原子灰，比普通原子灰性能更好，使用方便。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塑料原子灰</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专用于塑料钣金件的填补，调和后呈膏状，刮涂后与底材附着良好。</w:t>
            </w:r>
          </w:p>
        </w:tc>
      </w:tr>
    </w:tbl>
    <w:p>
      <w:pPr>
        <w:ind w:firstLine="0" w:firstLineChars="0"/>
      </w:pPr>
    </w:p>
    <w:p>
      <w:pPr>
        <w:pStyle w:val="5"/>
        <w:numPr>
          <w:ilvl w:val="0"/>
          <w:numId w:val="0"/>
        </w:numPr>
        <w:spacing w:before="163"/>
      </w:pPr>
      <w:bookmarkStart w:id="35" w:name="_Toc226540407"/>
      <w:r>
        <w:rPr>
          <w:rFonts w:hint="eastAsia" w:cs="Times New Roman"/>
          <w:szCs w:val="21"/>
        </w:rPr>
        <w:t>（3）</w:t>
      </w:r>
      <w:r>
        <w:rPr>
          <w:rFonts w:hint="eastAsia"/>
        </w:rPr>
        <w:t>底漆</w:t>
      </w:r>
      <w:bookmarkEnd w:id="35"/>
    </w:p>
    <w:p>
      <w:pPr>
        <w:ind w:firstLine="480"/>
      </w:pPr>
      <w:r>
        <w:t>底漆就是直接涂装在经过表面处理的车身表面上的第一道涂料，是整个涂层的开始，其作用主要是防腐蚀和填平金属基材的细微缺陷以及锈斑等，要求底漆与基材有良好的附着力，并与上面的面漆具有良好的配套性，底漆常用颜色为白色、红色、黑色。在使用前按照比例添加固化剂和稀释剂，于喷烤漆房内采用喷涂方式喷涂于待修补部位。常用种类为环氧树脂漆、磷化底漆和塑料底漆。</w:t>
      </w:r>
    </w:p>
    <w:p>
      <w:pPr>
        <w:ind w:firstLine="0" w:firstLineChars="0"/>
        <w:jc w:val="center"/>
        <w:rPr>
          <w:b/>
          <w:sz w:val="21"/>
          <w:szCs w:val="21"/>
        </w:rPr>
      </w:pPr>
      <w:r>
        <w:rPr>
          <w:rFonts w:hint="eastAsia"/>
          <w:b/>
          <w:sz w:val="21"/>
          <w:szCs w:val="21"/>
        </w:rPr>
        <w:t>表4-3 常用底漆类型</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类型</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环氧树脂漆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附着力极强，对金属、塑料等都有很好的附着力和粘结力；涂膜韧性好，耐绕曲，且硬度比较高；那化学品性优良，尤其是耐碱性突出；良好的电绝缘性，耐久性、耐热性良好；缺点是表面粉化较快，并使用胺类作为固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磷化底漆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对钣金底材具有良好的耐蚀性，对其上涂层也具有较好的粘结能力，常用于大面积钣金操作后对裸金属进行磷化防腐处理。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塑料底漆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直接涂覆经表面处理的塑料钣金件上，覆盖流痕和缺陷。</w:t>
            </w:r>
          </w:p>
        </w:tc>
      </w:tr>
    </w:tbl>
    <w:p>
      <w:pPr>
        <w:ind w:firstLine="0" w:firstLineChars="0"/>
      </w:pPr>
    </w:p>
    <w:p>
      <w:pPr>
        <w:pStyle w:val="5"/>
        <w:numPr>
          <w:ilvl w:val="0"/>
          <w:numId w:val="0"/>
        </w:numPr>
        <w:spacing w:before="163"/>
      </w:pPr>
      <w:bookmarkStart w:id="36" w:name="_Toc226540408"/>
      <w:r>
        <w:rPr>
          <w:rFonts w:hint="eastAsia" w:cs="Times New Roman"/>
          <w:szCs w:val="21"/>
        </w:rPr>
        <w:t>（4）</w:t>
      </w:r>
      <w:r>
        <w:rPr>
          <w:rFonts w:hint="eastAsia"/>
        </w:rPr>
        <w:t>面漆</w:t>
      </w:r>
      <w:bookmarkEnd w:id="36"/>
    </w:p>
    <w:p>
      <w:pPr>
        <w:ind w:firstLine="480"/>
      </w:pPr>
      <w:r>
        <w:t>面漆又包括本色漆、金属闪光漆等，用于表面颜色修补并起到遮盖作用，常用种类为热塑性丙烯酸树脂类涂料、聚酯-聚氨酯树脂涂料、丙烯酸-聚氨酯类涂料等，按照原厂车所采用的调色系统调配出合适的色母，并在使用前按照比例添加固化剂和稀释剂，用于修补遮盖。</w:t>
      </w:r>
    </w:p>
    <w:p>
      <w:pPr>
        <w:ind w:firstLine="0" w:firstLineChars="0"/>
        <w:jc w:val="center"/>
        <w:rPr>
          <w:b/>
          <w:sz w:val="21"/>
          <w:szCs w:val="21"/>
        </w:rPr>
      </w:pPr>
      <w:r>
        <w:rPr>
          <w:rFonts w:hint="eastAsia"/>
          <w:b/>
          <w:sz w:val="21"/>
          <w:szCs w:val="21"/>
        </w:rPr>
        <w:t>表4-4 常用面漆</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类型</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常用型号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醇酸磁漆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C04-2各色醇酸磁漆、C04-37各色醇酸磁漆、C04-42各色醇酸磁漆、C04-48各色醇酸磁漆、C04-49各色醇酸磁漆。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硝基磁漆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Q04-2各色硝基外用磁漆、Q04-17各色硝基醇酸磁漆、Q04-31各色硝基磁漆、Q04-34各色硝基磁漆。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过氯乙烯磁漆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G04-8各色过氧乙烯磁漆、G04-9各色过氧乙烯外用磁漆、G04-18各色过氧乙烯磁漆、G01-2过氧乙烯清漆。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丙烯酸漆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B04-68各色丙烯酸磁漆、B01-8丙烯酸清漆8、JB-I丙烯酸聚氨酯磁漆、B-06-50氨基丙烯酸烘干磁漆。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聚氨酯磁漆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7182各色聚氨酯磁漆、7182聚氨酯清漆、7650各色聚氨酯磁漆。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w:t>
            </w:r>
          </w:p>
        </w:tc>
        <w:tc>
          <w:tcPr>
            <w:tcW w:w="1985"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进口面漆</w:t>
            </w:r>
          </w:p>
        </w:tc>
        <w:tc>
          <w:tcPr>
            <w:tcW w:w="56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杜邦汽车漆（美国杜邦）、鹦鹉牌汽车漆（德国巴斯夫）</w:t>
            </w:r>
          </w:p>
        </w:tc>
      </w:tr>
    </w:tbl>
    <w:p>
      <w:pPr>
        <w:ind w:firstLine="0" w:firstLineChars="0"/>
      </w:pPr>
    </w:p>
    <w:p>
      <w:pPr>
        <w:pStyle w:val="5"/>
        <w:numPr>
          <w:ilvl w:val="0"/>
          <w:numId w:val="0"/>
        </w:numPr>
        <w:spacing w:before="163"/>
      </w:pPr>
      <w:bookmarkStart w:id="37" w:name="_Toc226540409"/>
      <w:r>
        <w:rPr>
          <w:rFonts w:hint="eastAsia" w:cs="Times New Roman"/>
          <w:szCs w:val="21"/>
        </w:rPr>
        <w:t>（5）</w:t>
      </w:r>
      <w:r>
        <w:rPr>
          <w:rFonts w:hint="eastAsia"/>
        </w:rPr>
        <w:t>罩光</w:t>
      </w:r>
      <w:bookmarkEnd w:id="37"/>
    </w:p>
    <w:p>
      <w:pPr>
        <w:ind w:firstLine="480"/>
      </w:pPr>
      <w:r>
        <w:t>最后一道工序为罩光清漆（俗称光油），主要特性是透明度高，光泽高，耐候性优异，附着力好，硬度高，丰满度好，优异的耐水、耐汽油、耐化学品性能，可自干亦可低温烘干。起到提高车身光泽、明亮程度及防UV，避免颜色淡化、抗冲击及砂石等作用，在清漆使用前需要按照比例配套固化剂和稀释剂。</w:t>
      </w:r>
    </w:p>
    <w:p>
      <w:pPr>
        <w:pStyle w:val="4"/>
        <w:spacing w:before="163" w:after="326" w:afterLines="100"/>
      </w:pPr>
      <w:bookmarkStart w:id="38" w:name="_Toc226540410"/>
      <w:r>
        <w:t>主要产排污环节</w:t>
      </w:r>
      <w:bookmarkEnd w:id="38"/>
    </w:p>
    <w:p>
      <w:pPr>
        <w:spacing w:before="163" w:beforeLines="50" w:line="360" w:lineRule="auto"/>
        <w:ind w:firstLine="480"/>
        <w:rPr>
          <w:rFonts w:cs="Times New Roman"/>
          <w:szCs w:val="21"/>
        </w:rPr>
      </w:pPr>
      <w:r>
        <w:rPr>
          <w:rFonts w:hint="eastAsia" w:cs="Times New Roman"/>
          <w:szCs w:val="21"/>
        </w:rPr>
        <w:t>汽车维修行业排放的主要大污染物包括VOCs、颗粒物，在整个汽车修理过程中产生VOCs污染排放环节主要集中在涉及油漆作业的喷漆及相关配套工序，包括油漆存储运输、表面处理、调配、喷漆、烘干、清洗等过程，见图2。</w:t>
      </w:r>
    </w:p>
    <w:p>
      <w:pPr>
        <w:spacing w:before="163" w:beforeLines="50" w:line="360" w:lineRule="auto"/>
        <w:ind w:firstLine="0" w:firstLineChars="0"/>
        <w:jc w:val="center"/>
        <w:rPr>
          <w:rFonts w:cs="Times New Roman"/>
          <w:szCs w:val="21"/>
        </w:rPr>
      </w:pPr>
      <w:r>
        <w:rPr>
          <w:rFonts w:cs="Times New Roman"/>
          <w:szCs w:val="21"/>
        </w:rPr>
        <w:drawing>
          <wp:inline distT="0" distB="0" distL="0" distR="0">
            <wp:extent cx="4523740" cy="2499360"/>
            <wp:effectExtent l="0" t="0" r="0" b="0"/>
            <wp:docPr id="10763139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3903"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23740" cy="2499360"/>
                    </a:xfrm>
                    <a:prstGeom prst="rect">
                      <a:avLst/>
                    </a:prstGeom>
                    <a:noFill/>
                  </pic:spPr>
                </pic:pic>
              </a:graphicData>
            </a:graphic>
          </wp:inline>
        </w:drawing>
      </w:r>
    </w:p>
    <w:p>
      <w:pPr>
        <w:spacing w:before="163" w:beforeLines="50" w:line="360" w:lineRule="auto"/>
        <w:ind w:firstLine="0" w:firstLineChars="0"/>
        <w:jc w:val="center"/>
        <w:rPr>
          <w:rFonts w:cs="Times New Roman"/>
          <w:b/>
          <w:sz w:val="21"/>
          <w:szCs w:val="21"/>
        </w:rPr>
      </w:pPr>
      <w:r>
        <w:rPr>
          <w:rFonts w:hint="eastAsia" w:cs="Times New Roman"/>
          <w:b/>
          <w:sz w:val="21"/>
          <w:szCs w:val="21"/>
        </w:rPr>
        <w:t>图4.3 汽车修补漆工艺大气污染物产排污环节</w:t>
      </w:r>
    </w:p>
    <w:p>
      <w:pPr>
        <w:spacing w:before="163" w:beforeLines="50" w:line="360" w:lineRule="auto"/>
        <w:ind w:firstLine="480"/>
        <w:rPr>
          <w:rFonts w:cs="Times New Roman"/>
          <w:szCs w:val="21"/>
        </w:rPr>
      </w:pPr>
      <w:r>
        <w:rPr>
          <w:rFonts w:hint="eastAsia" w:cs="Times New Roman"/>
          <w:szCs w:val="21"/>
        </w:rPr>
        <w:t>汽车维修行业主要产排污环节如下所述。</w:t>
      </w:r>
    </w:p>
    <w:p>
      <w:pPr>
        <w:spacing w:before="163" w:beforeLines="50" w:line="360" w:lineRule="auto"/>
        <w:ind w:firstLine="480"/>
        <w:rPr>
          <w:rFonts w:cs="Times New Roman"/>
          <w:szCs w:val="21"/>
        </w:rPr>
      </w:pPr>
      <w:r>
        <w:rPr>
          <w:rFonts w:hint="eastAsia" w:cs="Times New Roman"/>
          <w:szCs w:val="21"/>
        </w:rPr>
        <w:t>1）喷涂件预处理：涂装前金属的表面处理，在车身上进行彻底的清洁和去油污以消除车身上所有的污渍，使工件便于施行后续喷涂，一般不产生VOCs，但如果前处理使用含VOCs的清洗剂，则会存在VOCs挥发释放。</w:t>
      </w:r>
    </w:p>
    <w:p>
      <w:pPr>
        <w:spacing w:before="163" w:beforeLines="50" w:line="360" w:lineRule="auto"/>
        <w:ind w:firstLine="480"/>
        <w:rPr>
          <w:rFonts w:cs="Times New Roman"/>
          <w:szCs w:val="21"/>
        </w:rPr>
      </w:pPr>
      <w:r>
        <w:rPr>
          <w:rFonts w:hint="eastAsia" w:cs="Times New Roman"/>
          <w:szCs w:val="21"/>
        </w:rPr>
        <w:t>2）调漆过程：将涂料、稀释剂、固化剂等进行调配的过程被称作调漆，喷涂前的物料存储以及调漆过程中如未进行密闭操作，有机溶剂易挥发。经开封后的涂料（含固化剂和稀释剂）在存储过程中，若未加盖或密封不严，VOCs排放会增加，取用过程以及因操作不当遗撒到桌面、地面的涂料也会有VOCs挥发至空气中。只有增强操作管理，减少遗撒、减少涂料暴露时间才可以降低储存及调配过程中VOCs的排放。</w:t>
      </w:r>
    </w:p>
    <w:p>
      <w:pPr>
        <w:spacing w:before="163" w:beforeLines="50" w:line="360" w:lineRule="auto"/>
        <w:ind w:firstLine="480"/>
        <w:rPr>
          <w:rFonts w:cs="Times New Roman"/>
          <w:szCs w:val="21"/>
        </w:rPr>
      </w:pPr>
      <w:r>
        <w:rPr>
          <w:rFonts w:hint="eastAsia" w:cs="Times New Roman"/>
          <w:szCs w:val="21"/>
        </w:rPr>
        <w:t>3）打腻子、打磨：腻子中含有以二甲苯为主的VOCs，在使用过程中也会挥发到空气中。腻子调配时通过估算待修补部位用量，取用相应量的原子灰（以原子灰为例）与固化剂至调配板上，利用涂抹板将其混合均匀，成为待用修补腻子；修补时用涂抹版取适量腻子均匀涂抹在经过表面处理后的待修补位置，腻子调配以及涂抹过程中VOCs会直接挥发到车间环境中，依照每辆车修补面积和腻子用量不同，挥发量有所不同。涂抹完成后晾干，采用打磨机或手工将不够平整的地方打磨平整，打磨过程会产生颗粒物。</w:t>
      </w:r>
    </w:p>
    <w:p>
      <w:pPr>
        <w:spacing w:before="163" w:beforeLines="50" w:line="360" w:lineRule="auto"/>
        <w:ind w:firstLine="480"/>
        <w:rPr>
          <w:rFonts w:cs="Times New Roman"/>
          <w:szCs w:val="21"/>
        </w:rPr>
      </w:pPr>
      <w:r>
        <w:rPr>
          <w:rFonts w:hint="eastAsia" w:cs="Times New Roman"/>
          <w:szCs w:val="21"/>
        </w:rPr>
        <w:t>4）喷涂、流平与烘干：汽车漆包括底中涂、面漆、罩光清漆等，按照修补工艺流程依次施用于汽车待修补表面，经10-15分钟静置后（流平）进行烘干作业，一般来说，大部分企业的喷涂、流平和烘干均在喷烤漆房中操作。喷漆过程中部分原料漆以漆雾的形式飞散在喷烤漆房中，并随着喷烤漆房内气流向抽气方向移动，通过处理设备后排放至空气中。喷涂时所采用的喷枪转移效率越高，到达汽车表面的漆量越多，反之飞散到空气中的漆雾越多，产生的VOCs也越多。喷到汽车表面的漆料中的VOCs也会逐渐挥发至空气中，剩余的固体份形成漆膜，烘干工序可以加速漆膜形成过程中VOCs的挥发转移，挥发至空气中的有机物也随着气流经过地棉过滤进入处理设备并排放至空气中。通过采用高转移效率的喷枪、使用低VOCs含量的涂料、采用高效处理设备可以减少喷烤漆房的VOCs排放量。</w:t>
      </w:r>
    </w:p>
    <w:p>
      <w:pPr>
        <w:spacing w:before="163" w:beforeLines="50" w:line="360" w:lineRule="auto"/>
        <w:ind w:firstLine="480"/>
        <w:rPr>
          <w:rFonts w:cs="Times New Roman"/>
          <w:szCs w:val="21"/>
        </w:rPr>
      </w:pPr>
      <w:r>
        <w:rPr>
          <w:rFonts w:hint="eastAsia" w:cs="Times New Roman"/>
          <w:szCs w:val="21"/>
        </w:rPr>
        <w:t>5）喷枪清洗：在完成任务量的喷涂作业以及需要更换颜色时，需要对喷枪进行清洗，防止残留涂料污染喷枪，清洗剂中含有大量VOCs，在清洗过程中挥发到空气中。大部分汽车维修企业未设置单独喷枪清洗间，直接在喷烤房或者调漆间进行清洗。</w:t>
      </w:r>
    </w:p>
    <w:p>
      <w:pPr>
        <w:spacing w:before="163" w:beforeLines="50" w:line="360" w:lineRule="auto"/>
        <w:ind w:firstLine="480"/>
        <w:rPr>
          <w:rFonts w:cs="Times New Roman"/>
          <w:szCs w:val="21"/>
        </w:rPr>
      </w:pPr>
      <w:r>
        <w:rPr>
          <w:rFonts w:hint="eastAsia" w:cs="Times New Roman"/>
          <w:szCs w:val="21"/>
        </w:rPr>
        <w:t>6）固废储存：汽车维修过程产生的固废主要包括废油漆桶、漆雾收集后的废漆渣、污染治理设施产生的二次固废（如废活性炭等），固废如不能及时处理，堆放地有机废气将挥发逸散。</w:t>
      </w:r>
    </w:p>
    <w:p>
      <w:pPr>
        <w:pStyle w:val="4"/>
        <w:spacing w:before="163" w:after="163"/>
      </w:pPr>
      <w:bookmarkStart w:id="39" w:name="_Toc226540411"/>
      <w:r>
        <w:rPr>
          <w:rFonts w:hint="eastAsia"/>
        </w:rPr>
        <w:t>常用生产设备</w:t>
      </w:r>
      <w:bookmarkEnd w:id="39"/>
    </w:p>
    <w:p>
      <w:pPr>
        <w:pStyle w:val="5"/>
        <w:numPr>
          <w:ilvl w:val="0"/>
          <w:numId w:val="0"/>
        </w:numPr>
        <w:spacing w:before="163"/>
      </w:pPr>
      <w:bookmarkStart w:id="40" w:name="_Toc226540412"/>
      <w:r>
        <w:rPr>
          <w:rFonts w:hint="eastAsia" w:cs="Times New Roman"/>
          <w:szCs w:val="21"/>
        </w:rPr>
        <w:t>（1）刮涂和打磨工具</w:t>
      </w:r>
      <w:bookmarkEnd w:id="40"/>
    </w:p>
    <w:p>
      <w:pPr>
        <w:spacing w:before="163"/>
        <w:ind w:firstLine="480"/>
      </w:pPr>
      <w:r>
        <w:t>汽车维修工序中在钣金维修后、喷漆前需要对受损部位进行表面处理，表面处理应根据具体情况区别对待，一般来说应该包括清洗、除油污、润滑脂、彻底清除已遭破坏的漆膜、打磨除锈以及最后清理等工作。</w:t>
      </w:r>
    </w:p>
    <w:p>
      <w:pPr>
        <w:spacing w:before="163"/>
        <w:ind w:firstLine="480"/>
      </w:pPr>
      <w:r>
        <w:t>表面清洗干净后，对损伤部位需采用打磨系统去除掉已损坏的漆膜，对于待修补部位不大或部位外形比较复杂的情况下多采用手工砂纸打磨，主要目的是：除锈、去除已被破坏的旧涂层、打掉底漆、砂薄临近并未破损涂层的边缘、将基材表面打磨平整并将它砂光；对于待修补面积部位较大的情况下多采用机械打磨——电动磨光机对基材表面进行打磨、砂光、抛光等操作。</w:t>
      </w:r>
    </w:p>
    <w:p>
      <w:pPr>
        <w:spacing w:before="163" w:beforeLines="50" w:line="360" w:lineRule="auto"/>
        <w:ind w:firstLine="0" w:firstLineChars="0"/>
        <w:jc w:val="center"/>
        <w:rPr>
          <w:b/>
          <w:sz w:val="21"/>
          <w:szCs w:val="21"/>
        </w:rPr>
      </w:pPr>
      <w:r>
        <w:rPr>
          <w:rFonts w:hint="eastAsia"/>
          <w:b/>
          <w:sz w:val="21"/>
          <w:szCs w:val="21"/>
        </w:rPr>
        <w:t>表4-5 刮涂和打磨工具</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99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工序</w:t>
            </w:r>
          </w:p>
        </w:tc>
        <w:tc>
          <w:tcPr>
            <w:tcW w:w="660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工具名称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99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刮腻子</w:t>
            </w:r>
          </w:p>
        </w:tc>
        <w:tc>
          <w:tcPr>
            <w:tcW w:w="660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调灰刀、牛角刮刀、钢片刮刀、橡胶刮刀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99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打磨</w:t>
            </w:r>
          </w:p>
        </w:tc>
        <w:tc>
          <w:tcPr>
            <w:tcW w:w="660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单作用研磨机、双作用研磨机、手动长方手刨、手动大方手刨、手动中方手刨、手动小方手刨、砂纸</w:t>
            </w:r>
          </w:p>
        </w:tc>
      </w:tr>
    </w:tbl>
    <w:p>
      <w:pPr>
        <w:spacing w:before="163"/>
        <w:ind w:firstLine="480"/>
      </w:pPr>
    </w:p>
    <w:p>
      <w:pPr>
        <w:pStyle w:val="5"/>
        <w:numPr>
          <w:ilvl w:val="0"/>
          <w:numId w:val="0"/>
        </w:numPr>
        <w:spacing w:before="163"/>
      </w:pPr>
      <w:bookmarkStart w:id="41" w:name="_Toc226540413"/>
      <w:r>
        <w:rPr>
          <w:rFonts w:hint="eastAsia" w:cs="Times New Roman"/>
          <w:szCs w:val="21"/>
        </w:rPr>
        <w:t>（2）喷涂工具</w:t>
      </w:r>
      <w:bookmarkEnd w:id="41"/>
    </w:p>
    <w:p>
      <w:pPr>
        <w:spacing w:before="163"/>
        <w:ind w:firstLine="480"/>
      </w:pPr>
      <w:r>
        <w:t>喷枪是涂装的关键设备之一，是通过压缩空气将液态物料雾化后均匀地喷涂于工件表面的工具。</w:t>
      </w:r>
    </w:p>
    <w:p>
      <w:pPr>
        <w:spacing w:before="163" w:beforeLines="50" w:line="360" w:lineRule="auto"/>
        <w:ind w:firstLine="480"/>
        <w:rPr>
          <w:rFonts w:cs="Times New Roman"/>
          <w:szCs w:val="21"/>
        </w:rPr>
      </w:pPr>
      <w:r>
        <w:rPr>
          <w:rFonts w:hint="eastAsia" w:cs="Times New Roman"/>
          <w:szCs w:val="21"/>
        </w:rPr>
        <w:t>1）喷枪构成</w:t>
      </w:r>
    </w:p>
    <w:p>
      <w:pPr>
        <w:spacing w:before="163"/>
        <w:ind w:firstLine="480"/>
      </w:pPr>
      <w:r>
        <w:t>喷枪主要由可拆卸的喷头装置，其组成见表</w:t>
      </w:r>
      <w:r>
        <w:rPr>
          <w:rFonts w:hint="eastAsia"/>
        </w:rPr>
        <w:t>4-6</w:t>
      </w:r>
      <w:r>
        <w:t>。</w:t>
      </w:r>
    </w:p>
    <w:p>
      <w:pPr>
        <w:spacing w:before="163" w:beforeLines="50" w:line="360" w:lineRule="auto"/>
        <w:ind w:firstLine="0" w:firstLineChars="0"/>
        <w:jc w:val="center"/>
        <w:rPr>
          <w:b/>
          <w:sz w:val="21"/>
          <w:szCs w:val="21"/>
        </w:rPr>
      </w:pPr>
      <w:r>
        <w:rPr>
          <w:rFonts w:hint="eastAsia"/>
          <w:b/>
          <w:sz w:val="21"/>
          <w:szCs w:val="21"/>
        </w:rPr>
        <w:t xml:space="preserve">表4-6 </w:t>
      </w:r>
      <w:r>
        <w:rPr>
          <w:b/>
          <w:sz w:val="21"/>
          <w:szCs w:val="21"/>
        </w:rPr>
        <w:t>喷枪各主要零件的名称和作用</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名称</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风帽</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把压缩空气引入漆流中，使漆液雾化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主雾化孔</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形成真空，吸出漆液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扇幅控制孔</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借助空气压力控制扇形面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辅助雾化孔</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促进漆液雾化，若孔大或多，雾化能力强，反之则弱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5</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喷幅调节旋钮</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调到最小时，扇面为圆形，全开调节旋钮，扇面呈椭圆形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顶针</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控制漆液的流量多少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7</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密封圈</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起密封作用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8</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顶针弹簧</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当扳机放开时，使顶针回位作用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9</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流量调节旋钮</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旋到最小时，扣扳机没有漆液出来，全开时，出漆量最大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10</w:t>
            </w:r>
          </w:p>
        </w:tc>
        <w:tc>
          <w:tcPr>
            <w:tcW w:w="170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气压调节旋钮</w:t>
            </w:r>
          </w:p>
        </w:tc>
        <w:tc>
          <w:tcPr>
            <w:tcW w:w="5891"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调节压力大小</w:t>
            </w:r>
          </w:p>
        </w:tc>
      </w:tr>
    </w:tbl>
    <w:p>
      <w:pPr>
        <w:spacing w:before="163"/>
        <w:ind w:firstLine="480"/>
      </w:pPr>
    </w:p>
    <w:p>
      <w:pPr>
        <w:spacing w:before="163" w:beforeLines="50" w:line="360" w:lineRule="auto"/>
        <w:ind w:firstLine="480"/>
        <w:rPr>
          <w:rFonts w:cs="Times New Roman"/>
          <w:szCs w:val="21"/>
        </w:rPr>
      </w:pPr>
      <w:r>
        <w:rPr>
          <w:rFonts w:hint="eastAsia" w:cs="Times New Roman"/>
          <w:szCs w:val="21"/>
        </w:rPr>
        <w:t>2）喷枪种类</w:t>
      </w:r>
    </w:p>
    <w:p>
      <w:pPr>
        <w:spacing w:before="163"/>
        <w:ind w:firstLine="480"/>
      </w:pPr>
      <w:r>
        <w:t>根据供应涂料的方式喷枪分为3种：重力式、吸上式和压送式（表</w:t>
      </w:r>
      <w:r>
        <w:rPr>
          <w:rFonts w:hint="eastAsia"/>
        </w:rPr>
        <w:t>4-7</w:t>
      </w:r>
      <w:r>
        <w:t>）。</w:t>
      </w:r>
    </w:p>
    <w:p>
      <w:pPr>
        <w:spacing w:before="163" w:beforeLines="50" w:line="360" w:lineRule="auto"/>
        <w:ind w:firstLine="0" w:firstLineChars="0"/>
        <w:jc w:val="center"/>
        <w:rPr>
          <w:b/>
          <w:sz w:val="21"/>
          <w:szCs w:val="21"/>
        </w:rPr>
      </w:pPr>
      <w:r>
        <w:rPr>
          <w:rFonts w:hint="eastAsia"/>
          <w:b/>
          <w:sz w:val="21"/>
          <w:szCs w:val="21"/>
        </w:rPr>
        <w:t xml:space="preserve">表4-7 </w:t>
      </w:r>
      <w:r>
        <w:rPr>
          <w:b/>
          <w:sz w:val="21"/>
          <w:szCs w:val="21"/>
        </w:rPr>
        <w:t>各类喷枪优缺点</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556"/>
        <w:gridCol w:w="2667"/>
        <w:gridCol w:w="2490"/>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序号</w:t>
            </w:r>
          </w:p>
        </w:tc>
        <w:tc>
          <w:tcPr>
            <w:tcW w:w="55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名称</w:t>
            </w:r>
          </w:p>
        </w:tc>
        <w:tc>
          <w:tcPr>
            <w:tcW w:w="266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涂料供应方式</w:t>
            </w:r>
          </w:p>
        </w:tc>
        <w:tc>
          <w:tcPr>
            <w:tcW w:w="249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优点</w:t>
            </w:r>
          </w:p>
        </w:tc>
        <w:tc>
          <w:tcPr>
            <w:tcW w:w="2313"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w:t>
            </w:r>
          </w:p>
        </w:tc>
        <w:tc>
          <w:tcPr>
            <w:tcW w:w="55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重力式</w:t>
            </w:r>
          </w:p>
        </w:tc>
        <w:tc>
          <w:tcPr>
            <w:tcW w:w="266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枪壶在喷枪的上方，油漆是靠地球引力以及压缩空气在喷嘴处产生吸力供应至枪嘴</w:t>
            </w:r>
          </w:p>
        </w:tc>
        <w:tc>
          <w:tcPr>
            <w:tcW w:w="249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喷壶置于喷枪上方，使用灵活，而且不同的黏度对喷涂后的差异性影响较小</w:t>
            </w:r>
          </w:p>
        </w:tc>
        <w:tc>
          <w:tcPr>
            <w:tcW w:w="2313"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枪壶的容量较小，不适合做大面积的喷涂工作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w:t>
            </w:r>
          </w:p>
        </w:tc>
        <w:tc>
          <w:tcPr>
            <w:tcW w:w="55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吸上式</w:t>
            </w:r>
          </w:p>
        </w:tc>
        <w:tc>
          <w:tcPr>
            <w:tcW w:w="266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枪壶在喷枪的下方，油漆是靠枪嘴处产生的吸力供应</w:t>
            </w:r>
          </w:p>
        </w:tc>
        <w:tc>
          <w:tcPr>
            <w:tcW w:w="249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由于枪壶较大，适合做大面积的喷涂作业</w:t>
            </w:r>
          </w:p>
        </w:tc>
        <w:tc>
          <w:tcPr>
            <w:tcW w:w="2313"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不同黏度的油漆会影响喷枪的吸送能力，从而产生不稳定的喷涂效果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w:t>
            </w:r>
          </w:p>
        </w:tc>
        <w:tc>
          <w:tcPr>
            <w:tcW w:w="556"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压送式</w:t>
            </w:r>
          </w:p>
        </w:tc>
        <w:tc>
          <w:tcPr>
            <w:tcW w:w="266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枪壶和喷枪是分开的，油漆在喷壶内被压缩空气加压，并供应至喷嘴。</w:t>
            </w:r>
          </w:p>
        </w:tc>
        <w:tc>
          <w:tcPr>
            <w:tcW w:w="249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容量大，适合做大面积的连续性施工，并提供灵活的喷涂效果。</w:t>
            </w:r>
          </w:p>
        </w:tc>
        <w:tc>
          <w:tcPr>
            <w:tcW w:w="2313"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不适合做小面积的修补喷涂，喷枪清洗困难。</w:t>
            </w:r>
          </w:p>
        </w:tc>
      </w:tr>
    </w:tbl>
    <w:p>
      <w:pPr>
        <w:spacing w:before="163"/>
        <w:ind w:firstLine="480"/>
      </w:pPr>
    </w:p>
    <w:p>
      <w:pPr>
        <w:spacing w:before="163" w:beforeLines="50" w:line="360" w:lineRule="auto"/>
        <w:ind w:firstLine="480"/>
        <w:rPr>
          <w:rFonts w:cs="Times New Roman"/>
          <w:szCs w:val="21"/>
        </w:rPr>
      </w:pPr>
      <w:r>
        <w:rPr>
          <w:rFonts w:hint="eastAsia" w:cs="Times New Roman"/>
          <w:szCs w:val="21"/>
        </w:rPr>
        <w:t>3）喷抢雾化过程</w:t>
      </w:r>
    </w:p>
    <w:p>
      <w:pPr>
        <w:spacing w:before="163"/>
        <w:ind w:firstLine="480"/>
      </w:pPr>
      <w:r>
        <w:t>油漆在喷枪上雾化需要3个阶段：</w:t>
      </w:r>
    </w:p>
    <w:p>
      <w:pPr>
        <w:spacing w:before="163"/>
        <w:ind w:firstLine="480"/>
      </w:pPr>
      <w:r>
        <w:t>第一阶段，油漆被重力或空气吸力送入喷嘴，并开始被气流包围，有产生雾化的趋势。</w:t>
      </w:r>
    </w:p>
    <w:p>
      <w:pPr>
        <w:spacing w:before="163"/>
        <w:ind w:firstLine="480"/>
      </w:pPr>
      <w:r>
        <w:t>第二阶段，从喷嘴而来的油漆被气流包围，气流使油漆分散。</w:t>
      </w:r>
    </w:p>
    <w:p>
      <w:pPr>
        <w:spacing w:before="163"/>
        <w:ind w:firstLine="480"/>
      </w:pPr>
      <w:r>
        <w:t>第三阶段，辅助雾化孔和扇幅控制孔处的气流作用在油漆上，使油漆进一步分散并形成扇形漆雾。</w:t>
      </w:r>
    </w:p>
    <w:p>
      <w:pPr>
        <w:spacing w:before="163" w:beforeLines="50" w:line="360" w:lineRule="auto"/>
        <w:ind w:firstLine="480"/>
        <w:rPr>
          <w:rFonts w:cs="Times New Roman"/>
          <w:szCs w:val="21"/>
        </w:rPr>
      </w:pPr>
      <w:r>
        <w:rPr>
          <w:rFonts w:hint="eastAsia" w:cs="Times New Roman"/>
          <w:szCs w:val="21"/>
        </w:rPr>
        <w:t>4）喷枪的选用</w:t>
      </w:r>
    </w:p>
    <w:p>
      <w:pPr>
        <w:spacing w:before="163"/>
        <w:ind w:firstLine="480"/>
      </w:pPr>
      <w:r>
        <w:t>喷枪选用需考虑涂物面积的大小、涂料品种、涂料质量、喷枪特性等因素（表</w:t>
      </w:r>
      <w:r>
        <w:rPr>
          <w:rFonts w:hint="eastAsia"/>
        </w:rPr>
        <w:t>4-8</w:t>
      </w:r>
      <w:r>
        <w:t>）。</w:t>
      </w:r>
    </w:p>
    <w:p>
      <w:pPr>
        <w:spacing w:before="163" w:beforeLines="50" w:line="360" w:lineRule="auto"/>
        <w:ind w:firstLine="0" w:firstLineChars="0"/>
        <w:jc w:val="center"/>
        <w:rPr>
          <w:b/>
          <w:sz w:val="21"/>
          <w:szCs w:val="21"/>
        </w:rPr>
      </w:pPr>
      <w:r>
        <w:rPr>
          <w:rFonts w:hint="eastAsia"/>
          <w:b/>
          <w:sz w:val="21"/>
          <w:szCs w:val="21"/>
        </w:rPr>
        <w:t xml:space="preserve">表4-8 </w:t>
      </w:r>
      <w:r>
        <w:rPr>
          <w:b/>
          <w:sz w:val="21"/>
          <w:szCs w:val="21"/>
        </w:rPr>
        <w:t>底漆喷枪与面漆喷枪对喷枪的要求</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348"/>
        <w:gridCol w:w="2052"/>
        <w:gridCol w:w="1907"/>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修补类型</w:t>
            </w:r>
          </w:p>
        </w:tc>
        <w:tc>
          <w:tcPr>
            <w:tcW w:w="134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油漆类型</w:t>
            </w: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喷枪</w:t>
            </w:r>
          </w:p>
        </w:tc>
        <w:tc>
          <w:tcPr>
            <w:tcW w:w="190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喷涂口径</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雾化气孔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restart"/>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局部修补</w:t>
            </w:r>
          </w:p>
        </w:tc>
        <w:tc>
          <w:tcPr>
            <w:tcW w:w="134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中涂底漆</w:t>
            </w: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重力式</w:t>
            </w:r>
          </w:p>
        </w:tc>
        <w:tc>
          <w:tcPr>
            <w:tcW w:w="190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1.3-1.7mm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4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面漆</w:t>
            </w: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重力式</w:t>
            </w:r>
          </w:p>
        </w:tc>
        <w:tc>
          <w:tcPr>
            <w:tcW w:w="1907"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0.8-1.4 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restart"/>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全车喷涂</w:t>
            </w:r>
          </w:p>
        </w:tc>
        <w:tc>
          <w:tcPr>
            <w:tcW w:w="1348" w:type="dxa"/>
            <w:vMerge w:val="restart"/>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中涂底漆</w:t>
            </w: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重力式</w:t>
            </w:r>
          </w:p>
        </w:tc>
        <w:tc>
          <w:tcPr>
            <w:tcW w:w="19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1.6-1.7mm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48"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吸上式</w:t>
            </w:r>
          </w:p>
        </w:tc>
        <w:tc>
          <w:tcPr>
            <w:tcW w:w="19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1.9-2.0mm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48" w:type="dxa"/>
            <w:vMerge w:val="restart"/>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面漆</w:t>
            </w: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重力式</w:t>
            </w:r>
          </w:p>
        </w:tc>
        <w:tc>
          <w:tcPr>
            <w:tcW w:w="19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1.3-1.4mm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7"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1348" w:type="dxa"/>
            <w:vMerge w:val="continue"/>
            <w:vAlign w:val="center"/>
          </w:tcPr>
          <w:p>
            <w:pPr>
              <w:tabs>
                <w:tab w:val="left" w:pos="788"/>
              </w:tabs>
              <w:spacing w:line="240" w:lineRule="auto"/>
              <w:ind w:firstLine="0" w:firstLineChars="0"/>
              <w:jc w:val="center"/>
              <w:rPr>
                <w:rFonts w:cs="Times New Roman"/>
                <w:color w:val="000000"/>
                <w:kern w:val="0"/>
                <w:sz w:val="21"/>
              </w:rPr>
            </w:pPr>
          </w:p>
        </w:tc>
        <w:tc>
          <w:tcPr>
            <w:tcW w:w="205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吸上式</w:t>
            </w:r>
          </w:p>
        </w:tc>
        <w:tc>
          <w:tcPr>
            <w:tcW w:w="1907" w:type="dxa"/>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1.6-1.7mm</w:t>
            </w:r>
          </w:p>
        </w:tc>
        <w:tc>
          <w:tcPr>
            <w:tcW w:w="1908"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多</w:t>
            </w:r>
          </w:p>
        </w:tc>
      </w:tr>
    </w:tbl>
    <w:p>
      <w:pPr>
        <w:spacing w:before="163"/>
        <w:ind w:firstLine="480"/>
      </w:pPr>
    </w:p>
    <w:p>
      <w:pPr>
        <w:spacing w:before="163"/>
        <w:ind w:firstLine="480"/>
      </w:pPr>
      <w:r>
        <w:t>主要型号喷枪应按厂家建议调节参数（表</w:t>
      </w:r>
      <w:r>
        <w:rPr>
          <w:rFonts w:hint="eastAsia"/>
        </w:rPr>
        <w:t>4-9</w:t>
      </w:r>
      <w:r>
        <w:t>）。</w:t>
      </w:r>
    </w:p>
    <w:p>
      <w:pPr>
        <w:spacing w:before="163" w:beforeLines="50" w:line="360" w:lineRule="auto"/>
        <w:ind w:firstLine="0" w:firstLineChars="0"/>
        <w:jc w:val="center"/>
        <w:rPr>
          <w:b/>
          <w:sz w:val="21"/>
          <w:szCs w:val="21"/>
        </w:rPr>
      </w:pPr>
      <w:r>
        <w:rPr>
          <w:rFonts w:hint="eastAsia"/>
          <w:b/>
          <w:sz w:val="21"/>
          <w:szCs w:val="21"/>
        </w:rPr>
        <w:t>表4-9 喷枪参数</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022"/>
        <w:gridCol w:w="2372"/>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喷枪参数</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HVLP</w:t>
            </w:r>
          </w:p>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（高流量低气压）</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RP</w:t>
            </w:r>
          </w:p>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（优化减压）</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传统高气压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喷枪型号</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SATA jet 2000</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SATA jet RP</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SATA jet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建议喷气压/105Pa</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2.0</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2.5</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风帽气压/105Pa</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0.7</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1.3</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耗气量/（L/min）</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430</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295</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喷涂距离/cm</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13-17</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15-23</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传递效率</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＞65%</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＞65%</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喷嘴直径选择</w:t>
            </w:r>
          </w:p>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（*标准型号）</w:t>
            </w:r>
          </w:p>
        </w:tc>
        <w:tc>
          <w:tcPr>
            <w:tcW w:w="20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1.0,1.2,*1.3,1.4,1.5,1.7,1.9,2.2</w:t>
            </w:r>
          </w:p>
        </w:tc>
        <w:tc>
          <w:tcPr>
            <w:tcW w:w="237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1.0,1.2,*1.3,1.4,1.6,1.8,2.0,2.5</w:t>
            </w:r>
          </w:p>
        </w:tc>
        <w:tc>
          <w:tcPr>
            <w:tcW w:w="1922" w:type="dxa"/>
            <w:vAlign w:val="center"/>
          </w:tcPr>
          <w:p>
            <w:pPr>
              <w:tabs>
                <w:tab w:val="left" w:pos="788"/>
              </w:tabs>
              <w:spacing w:line="240" w:lineRule="auto"/>
              <w:ind w:firstLine="0" w:firstLineChars="0"/>
              <w:jc w:val="center"/>
              <w:rPr>
                <w:rFonts w:cs="Times New Roman"/>
                <w:color w:val="000000"/>
                <w:kern w:val="0"/>
                <w:sz w:val="21"/>
              </w:rPr>
            </w:pPr>
            <w:r>
              <w:rPr>
                <w:rFonts w:cs="Times New Roman"/>
                <w:color w:val="000000"/>
                <w:kern w:val="0"/>
                <w:sz w:val="21"/>
              </w:rPr>
              <w:t>1.0,1.4,1.5,1.7, 2.0</w:t>
            </w:r>
          </w:p>
        </w:tc>
      </w:tr>
    </w:tbl>
    <w:p>
      <w:pPr>
        <w:spacing w:before="163" w:beforeLines="50" w:line="360" w:lineRule="auto"/>
        <w:ind w:firstLine="480"/>
      </w:pPr>
    </w:p>
    <w:p>
      <w:pPr>
        <w:pStyle w:val="5"/>
        <w:numPr>
          <w:ilvl w:val="0"/>
          <w:numId w:val="0"/>
        </w:numPr>
        <w:spacing w:before="163"/>
      </w:pPr>
      <w:bookmarkStart w:id="42" w:name="_Toc226540414"/>
      <w:r>
        <w:rPr>
          <w:rFonts w:hint="eastAsia" w:cs="Times New Roman"/>
          <w:szCs w:val="21"/>
        </w:rPr>
        <w:t>（3）</w:t>
      </w:r>
      <w:r>
        <w:rPr>
          <w:rFonts w:hint="eastAsia"/>
        </w:rPr>
        <w:t>喷烤漆房</w:t>
      </w:r>
      <w:bookmarkEnd w:id="42"/>
    </w:p>
    <w:p>
      <w:pPr>
        <w:spacing w:before="163"/>
        <w:ind w:firstLine="480"/>
      </w:pPr>
      <w:r>
        <w:t>喷烤漆房是汽修企业进行喷涂和烘干工序不可或缺的主要设施之一，除了部分汽车总装厂外，一般汽车维修厂的喷漆和烤漆两个步骤都是在一间喷烤漆房中完成的，喷烤漆房主要为长方体，具体规格按照维修车型有所差异，常见规格为7m×4m×3m。对喷烤漆房其基本要求如下：</w:t>
      </w:r>
    </w:p>
    <w:p>
      <w:pPr>
        <w:spacing w:before="163"/>
        <w:ind w:firstLine="480"/>
      </w:pPr>
      <w:r>
        <w:t>1）进入喷烤漆房的空气，必须经过过滤，保证空气中无尘。在严冬时，过滤后的空气还需要适当加温。</w:t>
      </w:r>
    </w:p>
    <w:p>
      <w:pPr>
        <w:spacing w:before="163"/>
        <w:ind w:firstLine="480"/>
        <w:rPr>
          <w:rFonts w:cs="Times New Roman"/>
          <w:szCs w:val="21"/>
        </w:rPr>
      </w:pPr>
      <w:r>
        <w:t>2）空气在室内的流动方向必须采用下行式，即空气由天花板流向地面。</w:t>
      </w:r>
    </w:p>
    <w:p>
      <w:pPr>
        <w:spacing w:line="360" w:lineRule="auto"/>
        <w:ind w:left="-648" w:leftChars="-270" w:right="-1037" w:rightChars="-432" w:firstLine="0" w:firstLineChars="0"/>
        <w:jc w:val="center"/>
        <w:rPr>
          <w:rFonts w:cs="Times New Roman"/>
        </w:rPr>
      </w:pPr>
      <w:r>
        <w:rPr>
          <w:rFonts w:eastAsia="DengXian Light" w:cs="Times New Roman"/>
          <w:kern w:val="0"/>
          <w:szCs w:val="24"/>
        </w:rPr>
        <w:drawing>
          <wp:inline distT="0" distB="0" distL="0" distR="0">
            <wp:extent cx="3407410" cy="2131695"/>
            <wp:effectExtent l="0" t="0" r="254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9" cstate="print"/>
                    <a:srcRect t="2158" r="1462"/>
                    <a:stretch>
                      <a:fillRect/>
                    </a:stretch>
                  </pic:blipFill>
                  <pic:spPr>
                    <a:xfrm>
                      <a:off x="0" y="0"/>
                      <a:ext cx="3431209" cy="2146619"/>
                    </a:xfrm>
                    <a:prstGeom prst="rect">
                      <a:avLst/>
                    </a:prstGeom>
                    <a:noFill/>
                    <a:ln w="9525">
                      <a:noFill/>
                      <a:miter lim="800000"/>
                      <a:headEnd/>
                      <a:tailEnd/>
                    </a:ln>
                  </pic:spPr>
                </pic:pic>
              </a:graphicData>
            </a:graphic>
          </wp:inline>
        </w:drawing>
      </w:r>
    </w:p>
    <w:p>
      <w:pPr>
        <w:spacing w:before="163" w:beforeLines="50" w:line="360" w:lineRule="auto"/>
        <w:ind w:firstLine="0" w:firstLineChars="0"/>
        <w:jc w:val="center"/>
        <w:rPr>
          <w:rFonts w:cs="Times New Roman"/>
          <w:b/>
          <w:sz w:val="21"/>
          <w:szCs w:val="21"/>
        </w:rPr>
      </w:pPr>
      <w:r>
        <w:rPr>
          <w:rFonts w:cs="Times New Roman"/>
          <w:b/>
          <w:sz w:val="21"/>
          <w:szCs w:val="21"/>
        </w:rPr>
        <w:t>图</w:t>
      </w:r>
      <w:r>
        <w:rPr>
          <w:rFonts w:hint="eastAsia" w:cs="Times New Roman"/>
          <w:b/>
          <w:sz w:val="21"/>
          <w:szCs w:val="21"/>
        </w:rPr>
        <w:t>4.4</w:t>
      </w:r>
      <w:r>
        <w:rPr>
          <w:rFonts w:cs="Times New Roman"/>
          <w:b/>
          <w:sz w:val="21"/>
          <w:szCs w:val="21"/>
        </w:rPr>
        <w:t xml:space="preserve"> 喷房下行式进风方式示意图</w:t>
      </w:r>
    </w:p>
    <w:p>
      <w:pPr>
        <w:spacing w:before="163"/>
        <w:ind w:firstLine="480"/>
      </w:pPr>
      <w:r>
        <w:t>3）对溶剂型涂料的喷烤漆房，要求喷涂时烤房的进风量在12000m</w:t>
      </w:r>
      <w:r>
        <w:rPr>
          <w:vertAlign w:val="superscript"/>
        </w:rPr>
        <w:t>3</w:t>
      </w:r>
      <w:r>
        <w:t>/h；对于水溶性涂料的喷烤漆房，要求进风量在18000 m</w:t>
      </w:r>
      <w:r>
        <w:rPr>
          <w:vertAlign w:val="superscript"/>
        </w:rPr>
        <w:t>3/</w:t>
      </w:r>
      <w:r>
        <w:t>h。</w:t>
      </w:r>
    </w:p>
    <w:p>
      <w:pPr>
        <w:spacing w:before="163"/>
        <w:ind w:firstLine="480"/>
      </w:pPr>
      <w:r>
        <w:t>4）喷烤漆房与外面应达到有效的密封，防止外界的灰尘进入。</w:t>
      </w:r>
    </w:p>
    <w:p>
      <w:pPr>
        <w:spacing w:before="163"/>
        <w:ind w:firstLine="480"/>
      </w:pPr>
      <w:r>
        <w:t>5）喷烤漆房内的空气，应过滤后排到外面大气中，以防止对环境的污染。</w:t>
      </w:r>
    </w:p>
    <w:p>
      <w:pPr>
        <w:spacing w:line="360" w:lineRule="auto"/>
        <w:ind w:firstLine="0" w:firstLineChars="0"/>
        <w:rPr>
          <w:rFonts w:eastAsia="DengXian Light" w:cs="Times New Roman"/>
          <w:szCs w:val="24"/>
        </w:rPr>
      </w:pPr>
      <w:r>
        <w:rPr>
          <w:rFonts w:eastAsia="DengXian Light" w:cs="Times New Roman"/>
          <w:szCs w:val="24"/>
        </w:rPr>
        <w:drawing>
          <wp:inline distT="0" distB="0" distL="0" distR="0">
            <wp:extent cx="2517140" cy="1675130"/>
            <wp:effectExtent l="1905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20" cstate="print"/>
                    <a:srcRect/>
                    <a:stretch>
                      <a:fillRect/>
                    </a:stretch>
                  </pic:blipFill>
                  <pic:spPr>
                    <a:xfrm>
                      <a:off x="0" y="0"/>
                      <a:ext cx="2519350" cy="1676445"/>
                    </a:xfrm>
                    <a:prstGeom prst="rect">
                      <a:avLst/>
                    </a:prstGeom>
                    <a:noFill/>
                    <a:ln w="9525">
                      <a:noFill/>
                      <a:miter lim="800000"/>
                      <a:headEnd/>
                      <a:tailEnd/>
                    </a:ln>
                  </pic:spPr>
                </pic:pic>
              </a:graphicData>
            </a:graphic>
          </wp:inline>
        </w:drawing>
      </w:r>
      <w:r>
        <w:rPr>
          <w:rFonts w:eastAsia="DengXian Light" w:cs="Times New Roman"/>
          <w:szCs w:val="24"/>
        </w:rPr>
        <w:t xml:space="preserve">  </w:t>
      </w:r>
      <w:r>
        <w:rPr>
          <w:rFonts w:eastAsia="DengXian Light" w:cs="Times New Roman"/>
          <w:szCs w:val="24"/>
        </w:rPr>
        <w:drawing>
          <wp:inline distT="0" distB="0" distL="0" distR="0">
            <wp:extent cx="2437130" cy="1677035"/>
            <wp:effectExtent l="19050" t="0" r="1132"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21" cstate="print"/>
                    <a:srcRect/>
                    <a:stretch>
                      <a:fillRect/>
                    </a:stretch>
                  </pic:blipFill>
                  <pic:spPr>
                    <a:xfrm>
                      <a:off x="0" y="0"/>
                      <a:ext cx="2438053" cy="1677604"/>
                    </a:xfrm>
                    <a:prstGeom prst="rect">
                      <a:avLst/>
                    </a:prstGeom>
                    <a:noFill/>
                    <a:ln w="9525">
                      <a:noFill/>
                      <a:miter lim="800000"/>
                      <a:headEnd/>
                      <a:tailEnd/>
                    </a:ln>
                  </pic:spPr>
                </pic:pic>
              </a:graphicData>
            </a:graphic>
          </wp:inline>
        </w:drawing>
      </w:r>
    </w:p>
    <w:p>
      <w:pPr>
        <w:spacing w:before="163"/>
        <w:ind w:firstLine="0" w:firstLineChars="0"/>
        <w:jc w:val="center"/>
        <w:rPr>
          <w:rFonts w:cs="Times New Roman"/>
          <w:b/>
          <w:sz w:val="21"/>
          <w:szCs w:val="21"/>
        </w:rPr>
      </w:pPr>
      <w:r>
        <w:rPr>
          <w:rFonts w:hint="eastAsia" w:cs="Times New Roman"/>
          <w:b/>
          <w:sz w:val="21"/>
          <w:szCs w:val="21"/>
        </w:rPr>
        <w:t>图4.5 喷房过滤棉实物图</w:t>
      </w:r>
    </w:p>
    <w:p>
      <w:pPr>
        <w:spacing w:before="163"/>
        <w:ind w:firstLine="480"/>
      </w:pPr>
      <w:r>
        <w:t>6）喷烤漆房在工作时应始终保持内压大于外压（正压操作），压力差保持在4-12Pa。</w:t>
      </w:r>
    </w:p>
    <w:p>
      <w:pPr>
        <w:spacing w:before="163"/>
        <w:ind w:firstLine="480"/>
      </w:pPr>
      <w:r>
        <w:t>7）喷烤漆房内噪声应小于85dB。</w:t>
      </w:r>
    </w:p>
    <w:p>
      <w:pPr>
        <w:spacing w:before="163"/>
        <w:ind w:firstLine="480"/>
      </w:pPr>
      <w:r>
        <w:t>8）喷烤漆房内应有灭火装置，要符合油漆厂安全防火的要求。</w:t>
      </w:r>
    </w:p>
    <w:p>
      <w:pPr>
        <w:spacing w:before="163"/>
        <w:ind w:firstLine="480"/>
      </w:pPr>
      <w:r>
        <w:t xml:space="preserve">9）水溶性涂料对压缩空气的要求较高，在喷涂水性涂料时要求喷房内配备三节管油水分离器。  </w:t>
      </w:r>
    </w:p>
    <w:p>
      <w:pPr>
        <w:spacing w:before="163"/>
        <w:ind w:firstLine="480"/>
      </w:pPr>
      <w:r>
        <w:t>喷烤漆房有2种工作状态：</w:t>
      </w:r>
    </w:p>
    <w:p>
      <w:pPr>
        <w:spacing w:before="163"/>
        <w:ind w:firstLine="480"/>
      </w:pPr>
      <w:r>
        <w:t>1）喷漆时，外部空气经初级过滤网过滤后由风机送到房顶，再经过顶部过滤网二次过滤净化后进入房内。房内空气采用下行式送入房内，空气以0.2-0.3m/s的速度向下流动，使喷漆后的漆雾颗粒不能在空气中停留，而直接通过底部出风口排除房外，房内空气清洁度需达到98%以上。</w:t>
      </w:r>
    </w:p>
    <w:p>
      <w:pPr>
        <w:spacing w:before="163"/>
        <w:ind w:firstLine="480"/>
        <w:rPr>
          <w:rFonts w:cs="Times New Roman"/>
        </w:rPr>
      </w:pPr>
      <w:r>
        <w:t>2）烤漆时，风机将外部新鲜空气进行初过滤后，与热交换器发生热交换后送至喷烤漆房房顶部的气室，再经过第二次过滤净化，送入房内。热风经过风门的内循环作用，除吸进少量新风外，绝大部分热空气又被继续加热利用，使房内温度逐步升高。当温度达到设定的温度时，燃烧器自动停止；当温度下降到设置温度时，风机和燃烧器又自动开启，使烤漆房内的温度保持相对恒定。最后当烤漆时间达到设定的时间时，自动关机，烤漆结束。</w:t>
      </w:r>
    </w:p>
    <w:p>
      <w:pPr>
        <w:spacing w:line="240" w:lineRule="auto"/>
        <w:ind w:firstLine="0" w:firstLineChars="0"/>
        <w:rPr>
          <w:rFonts w:cs="Times New Roman"/>
        </w:rPr>
      </w:pPr>
      <w:r>
        <w:rPr>
          <w:rFonts w:cs="Times New Roman"/>
        </w:rPr>
        <w:drawing>
          <wp:inline distT="0" distB="0" distL="0" distR="0">
            <wp:extent cx="2596515" cy="1907540"/>
            <wp:effectExtent l="19050" t="19050" r="13335" b="165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cstate="print"/>
                    <a:stretch>
                      <a:fillRect/>
                    </a:stretch>
                  </pic:blipFill>
                  <pic:spPr>
                    <a:xfrm>
                      <a:off x="0" y="0"/>
                      <a:ext cx="2607070" cy="1914951"/>
                    </a:xfrm>
                    <a:prstGeom prst="rect">
                      <a:avLst/>
                    </a:prstGeom>
                    <a:ln>
                      <a:solidFill>
                        <a:sysClr val="windowText" lastClr="000000"/>
                      </a:solidFill>
                    </a:ln>
                  </pic:spPr>
                </pic:pic>
              </a:graphicData>
            </a:graphic>
          </wp:inline>
        </w:drawing>
      </w:r>
      <w:r>
        <w:rPr>
          <w:rFonts w:cs="Times New Roman"/>
        </w:rPr>
        <w:drawing>
          <wp:inline distT="0" distB="0" distL="0" distR="0">
            <wp:extent cx="2586355" cy="1907540"/>
            <wp:effectExtent l="19050" t="19050" r="23495"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cstate="print"/>
                    <a:stretch>
                      <a:fillRect/>
                    </a:stretch>
                  </pic:blipFill>
                  <pic:spPr>
                    <a:xfrm>
                      <a:off x="0" y="0"/>
                      <a:ext cx="2598016" cy="1916210"/>
                    </a:xfrm>
                    <a:prstGeom prst="rect">
                      <a:avLst/>
                    </a:prstGeom>
                    <a:ln>
                      <a:solidFill>
                        <a:sysClr val="windowText" lastClr="000000"/>
                      </a:solidFill>
                    </a:ln>
                  </pic:spPr>
                </pic:pic>
              </a:graphicData>
            </a:graphic>
          </wp:inline>
        </w:drawing>
      </w:r>
    </w:p>
    <w:p>
      <w:pPr>
        <w:spacing w:line="240" w:lineRule="exact"/>
        <w:ind w:firstLine="0" w:firstLineChars="0"/>
        <w:jc w:val="center"/>
        <w:rPr>
          <w:rFonts w:cs="Times New Roman"/>
          <w:sz w:val="21"/>
        </w:rPr>
      </w:pPr>
      <w:r>
        <w:rPr>
          <w:rFonts w:cs="Times New Roman"/>
          <w:sz w:val="21"/>
        </w:rPr>
        <w:t>（1）喷漆                              （2）烤漆</w:t>
      </w:r>
    </w:p>
    <w:p>
      <w:pPr>
        <w:spacing w:before="163" w:beforeLines="50" w:line="360" w:lineRule="auto"/>
        <w:ind w:firstLine="0" w:firstLineChars="0"/>
        <w:jc w:val="center"/>
        <w:rPr>
          <w:rFonts w:cs="Times New Roman"/>
          <w:b/>
          <w:sz w:val="21"/>
          <w:szCs w:val="21"/>
        </w:rPr>
      </w:pPr>
      <w:r>
        <w:rPr>
          <w:rFonts w:hint="eastAsia" w:cs="Times New Roman"/>
          <w:b/>
          <w:sz w:val="21"/>
          <w:szCs w:val="21"/>
        </w:rPr>
        <w:t>图4.6 喷烤漆原理图</w:t>
      </w:r>
    </w:p>
    <w:p>
      <w:pPr>
        <w:pStyle w:val="5"/>
        <w:numPr>
          <w:ilvl w:val="0"/>
          <w:numId w:val="0"/>
        </w:numPr>
        <w:spacing w:before="163"/>
      </w:pPr>
      <w:bookmarkStart w:id="43" w:name="_Toc226540415"/>
      <w:r>
        <w:rPr>
          <w:rFonts w:hint="eastAsia" w:cs="Times New Roman"/>
          <w:szCs w:val="21"/>
        </w:rPr>
        <w:t>（4）</w:t>
      </w:r>
      <w:r>
        <w:rPr>
          <w:rFonts w:hint="eastAsia"/>
        </w:rPr>
        <w:t>烤</w:t>
      </w:r>
      <w:r>
        <w:t>灯</w:t>
      </w:r>
      <w:bookmarkEnd w:id="43"/>
    </w:p>
    <w:p>
      <w:pPr>
        <w:spacing w:before="163"/>
        <w:ind w:firstLine="480"/>
      </w:pPr>
      <w:r>
        <w:t>烤灯属于红外辐射干燥设备，用于辅助漆膜的干燥成型，其具有以下特点。</w:t>
      </w:r>
    </w:p>
    <w:p>
      <w:pPr>
        <w:spacing w:before="163"/>
        <w:ind w:firstLine="480"/>
      </w:pPr>
      <w:r>
        <w:t>1）干燥速度快并由内向外干燥，溶剂易挥发，缩短干燥时间；</w:t>
      </w:r>
    </w:p>
    <w:p>
      <w:pPr>
        <w:spacing w:before="163"/>
        <w:ind w:firstLine="480"/>
      </w:pPr>
      <w:r>
        <w:t>2）干燥质量好，涂层干燥均匀，可避免产生针孔、气泡等缺陷；</w:t>
      </w:r>
    </w:p>
    <w:p>
      <w:pPr>
        <w:spacing w:before="163"/>
        <w:ind w:firstLine="480"/>
      </w:pPr>
      <w:r>
        <w:t>3）升温速度快，大大缩短烤干时间；</w:t>
      </w:r>
    </w:p>
    <w:p>
      <w:pPr>
        <w:spacing w:before="163"/>
        <w:ind w:firstLine="480"/>
      </w:pPr>
      <w:r>
        <w:t>4）红外干燥设备结构简单，效率高，节约设备投资和占地面积；</w:t>
      </w:r>
    </w:p>
    <w:p>
      <w:pPr>
        <w:spacing w:before="163"/>
        <w:ind w:firstLine="480"/>
      </w:pPr>
      <w:r>
        <w:t>5）红外辐射具有方向性，可用于局部加热；</w:t>
      </w:r>
    </w:p>
    <w:p>
      <w:pPr>
        <w:spacing w:before="163"/>
        <w:ind w:firstLine="480"/>
      </w:pPr>
      <w:r>
        <w:t>6）红外线以直线运行，因此要尽量使工件表面收到红外线的直接照射，才能取得良好效果。</w:t>
      </w:r>
    </w:p>
    <w:p>
      <w:pPr>
        <w:pStyle w:val="5"/>
        <w:numPr>
          <w:ilvl w:val="0"/>
          <w:numId w:val="0"/>
        </w:numPr>
        <w:spacing w:before="163"/>
      </w:pPr>
      <w:bookmarkStart w:id="44" w:name="_Toc226540416"/>
      <w:r>
        <w:rPr>
          <w:rFonts w:hint="eastAsia" w:cs="Times New Roman"/>
          <w:szCs w:val="21"/>
        </w:rPr>
        <w:t>（5）</w:t>
      </w:r>
      <w:r>
        <w:rPr>
          <w:rFonts w:hint="eastAsia"/>
        </w:rPr>
        <w:t>环保系统</w:t>
      </w:r>
      <w:bookmarkEnd w:id="44"/>
    </w:p>
    <w:p>
      <w:pPr>
        <w:spacing w:before="163"/>
        <w:ind w:firstLine="480"/>
      </w:pPr>
      <w:r>
        <w:t>汽车维修过程中，喷漆过程中未附着在待喷涂表面的漆雾以及汽车漆中挥发的溶剂会在喷漆以及烘干过程中释放挥发性有机物，进而污染环境空气，必须经过环保装置的处理，达到相关环保要求。在修补操作过程中，喷漆和烘干均在封闭的喷烤漆房中进行，漆房中的顶棉、地面可以过滤漆雾等颗粒物，挥发性有机物经送风系统抽出，进入活性炭吸附等处理设备，使排出气体达到环保标准要求。除活性碳吸附外，现行主流工艺为UV光解+活性炭吸附，钣喷中心也有使用沸石转轮+RCO。</w:t>
      </w:r>
    </w:p>
    <w:bookmarkEnd w:id="32"/>
    <w:p>
      <w:pPr>
        <w:pStyle w:val="3"/>
        <w:spacing w:before="163" w:after="163"/>
      </w:pPr>
      <w:bookmarkStart w:id="45" w:name="_Toc226540417"/>
      <w:r>
        <w:t>主要大气污染物特征</w:t>
      </w:r>
      <w:bookmarkEnd w:id="45"/>
    </w:p>
    <w:p>
      <w:pPr>
        <w:pStyle w:val="4"/>
        <w:spacing w:before="163" w:after="163"/>
      </w:pPr>
      <w:bookmarkStart w:id="46" w:name="_Toc226540418"/>
      <w:r>
        <w:t>确定排放控制的</w:t>
      </w:r>
      <w:r>
        <w:rPr>
          <w:rFonts w:hint="eastAsia"/>
        </w:rPr>
        <w:t>污染物</w:t>
      </w:r>
      <w:r>
        <w:t>种类</w:t>
      </w:r>
      <w:bookmarkEnd w:id="46"/>
    </w:p>
    <w:p>
      <w:pPr>
        <w:ind w:firstLine="480"/>
      </w:pPr>
      <w:r>
        <w:rPr>
          <w:rFonts w:hint="eastAsia"/>
        </w:rPr>
        <w:t>汽车维修行业大气污染物排放主要来源于涂料喷涂和打磨环节。现代汽车涂料由树脂、颜料、溶剂及添加剂构成。其中，树脂非成膜物质、溶剂是VOCs排放的主要来源。</w:t>
      </w:r>
      <w:r>
        <w:t>由于</w:t>
      </w:r>
      <w:r>
        <w:rPr>
          <w:rFonts w:hint="eastAsia"/>
        </w:rPr>
        <w:t>涂料喷涂</w:t>
      </w:r>
      <w:r>
        <w:t>过程采用的溶剂种类很多，难以对各种有毒有害的有机污染物都通过单独设立限值来控制，为控制有毒有害空气污染物的排放，需要设置综合性指标</w:t>
      </w:r>
      <w:r>
        <w:rPr>
          <w:rFonts w:hint="eastAsia"/>
        </w:rPr>
        <w:t>非甲烷总烃</w:t>
      </w:r>
      <w:r>
        <w:t>来控制。除选取</w:t>
      </w:r>
      <w:r>
        <w:rPr>
          <w:rFonts w:hint="eastAsia"/>
        </w:rPr>
        <w:t>非甲烷总烃</w:t>
      </w:r>
      <w:r>
        <w:t>作为污染控制项目外，还选择单项污染物控制指标。单项污染物控制指标的确定根据原料中VOCs的主要成分，综合考虑物质的毒性、光化学活性和恶臭扰民的影响确定。</w:t>
      </w:r>
      <w:r>
        <w:rPr>
          <w:rFonts w:hint="eastAsia"/>
        </w:rPr>
        <w:t>腻子</w:t>
      </w:r>
      <w:r>
        <w:rPr>
          <w:rFonts w:hint="eastAsia" w:cs="Times New Roman"/>
          <w:szCs w:val="21"/>
        </w:rPr>
        <w:t>涂抹完成后晾干，采用打磨机或手工将不够平整的地方打磨平整，打磨过程会产生颗粒物，需要</w:t>
      </w:r>
      <w:r>
        <w:t>设置</w:t>
      </w:r>
      <w:r>
        <w:rPr>
          <w:rFonts w:hint="eastAsia"/>
        </w:rPr>
        <w:t>颗粒物指标</w:t>
      </w:r>
      <w:r>
        <w:t>来控制</w:t>
      </w:r>
      <w:r>
        <w:rPr>
          <w:rFonts w:hint="eastAsia" w:cs="Times New Roman"/>
          <w:szCs w:val="21"/>
        </w:rPr>
        <w:t>。</w:t>
      </w:r>
    </w:p>
    <w:p>
      <w:pPr>
        <w:pStyle w:val="4"/>
        <w:spacing w:before="163" w:after="163"/>
      </w:pPr>
      <w:bookmarkStart w:id="47" w:name="_Toc226540419"/>
      <w:r>
        <w:t>原料中VOCs的主要成分</w:t>
      </w:r>
      <w:bookmarkEnd w:id="47"/>
    </w:p>
    <w:p>
      <w:pPr>
        <w:spacing w:before="163" w:beforeLines="50" w:line="312" w:lineRule="auto"/>
        <w:ind w:firstLine="480"/>
        <w:rPr>
          <w:rFonts w:cs="Times New Roman"/>
          <w:szCs w:val="21"/>
        </w:rPr>
      </w:pPr>
      <w:r>
        <w:rPr>
          <w:rFonts w:hint="eastAsia" w:cs="Times New Roman"/>
          <w:szCs w:val="21"/>
        </w:rPr>
        <w:t>喷涂</w:t>
      </w:r>
      <w:r>
        <w:rPr>
          <w:rFonts w:cs="Times New Roman"/>
          <w:szCs w:val="21"/>
        </w:rPr>
        <w:t>过程使用的</w:t>
      </w:r>
      <w:r>
        <w:rPr>
          <w:rFonts w:hint="eastAsia" w:cs="Times New Roman"/>
          <w:szCs w:val="21"/>
        </w:rPr>
        <w:t>涂料</w:t>
      </w:r>
      <w:r>
        <w:rPr>
          <w:rFonts w:cs="Times New Roman"/>
          <w:szCs w:val="21"/>
        </w:rPr>
        <w:t>是汽车</w:t>
      </w:r>
      <w:r>
        <w:rPr>
          <w:rFonts w:hint="eastAsia" w:cs="Times New Roman"/>
          <w:szCs w:val="21"/>
        </w:rPr>
        <w:t>维修行业</w:t>
      </w:r>
      <w:r>
        <w:rPr>
          <w:rFonts w:cs="Times New Roman"/>
          <w:szCs w:val="21"/>
        </w:rPr>
        <w:t>VOCs的来源。水性漆料主要含二甲苯、三甲苯、乙酸丁酯、甲醇、苯乙烯、2-丁酮、4-甲基-2-戊酮、轻芳烃溶剂石脑油（石油）、1-6 二异氰酸根合已烷的均聚物等。溶剂型涂料主要含二甲苯、三甲苯、甲苯、乙苯、乙酸乙酯、乙酸丁酯、正丁醇、2-丁氧基乙醇、环己酮、5-甲基-2-己酮、乙酸戊酯、丙二醇甲醚醋酸酯、1,6-己二异氰酸酯、乙酸-2-乙氧基乙酯、乙酸-2-丁氧基乙酯、乙酸-1-甲氧基-2-丙基酯、1,2-丙二醇二乙酸酯、轻芳烃溶剂石脑油（石油）等 20 余种 VOCs 组分。</w:t>
      </w:r>
    </w:p>
    <w:p>
      <w:pPr>
        <w:pStyle w:val="5"/>
        <w:numPr>
          <w:ilvl w:val="0"/>
          <w:numId w:val="0"/>
        </w:numPr>
        <w:spacing w:before="163"/>
      </w:pPr>
      <w:bookmarkStart w:id="48" w:name="_Toc226540420"/>
      <w:r>
        <w:rPr>
          <w:rFonts w:hint="eastAsia" w:cs="Times New Roman"/>
          <w:szCs w:val="21"/>
        </w:rPr>
        <w:t>（1）文献值</w:t>
      </w:r>
      <w:bookmarkEnd w:id="48"/>
    </w:p>
    <w:p>
      <w:pPr>
        <w:spacing w:before="163" w:beforeLines="50" w:line="312" w:lineRule="auto"/>
        <w:ind w:firstLine="480"/>
        <w:rPr>
          <w:rFonts w:cs="Times New Roman"/>
          <w:szCs w:val="21"/>
        </w:rPr>
      </w:pPr>
      <w:r>
        <w:rPr>
          <w:rFonts w:cs="Times New Roman"/>
          <w:szCs w:val="21"/>
        </w:rPr>
        <w:t>《汽车维修行业大气污染防治可行技术指南》中对各地组分开展了调研，全国范围内不同地方或区域的 VOCs 种类及组分也有一定的区别。</w:t>
      </w:r>
    </w:p>
    <w:p>
      <w:pPr>
        <w:spacing w:before="163" w:beforeLines="50" w:line="312" w:lineRule="auto"/>
        <w:ind w:firstLine="480"/>
        <w:rPr>
          <w:rFonts w:cs="Times New Roman"/>
          <w:szCs w:val="21"/>
        </w:rPr>
      </w:pPr>
      <w:r>
        <w:rPr>
          <w:rFonts w:cs="Times New Roman"/>
          <w:szCs w:val="21"/>
        </w:rPr>
        <w:t>北京汽修企业的废气监测结果显示主要组分包括芳香烃类和酯类物质，其中芳香烃类包含 14 种组分，约占 54.8%；酯类物质包含 4 种组分，约占 24.1%。上海汽修企业的废气监测结果显示主要组分为苯、甲苯、二甲苯，同时还检测出较高浓度的乙酸丁酯以及乙苯、苯乙烯、环己酮等；另有研究表明，喷漆和烘漆的废气中芳香烃所占比例可达 77.3%和 90.6%，其中，间/对-二甲苯、乙苯和邻-二甲苯是汽车喷漆和烘漆 VOCs 中含量最丰富的物种，而苯的含量较低。</w:t>
      </w:r>
    </w:p>
    <w:p>
      <w:pPr>
        <w:spacing w:before="163" w:beforeLines="50" w:line="312" w:lineRule="auto"/>
        <w:ind w:firstLine="480"/>
        <w:rPr>
          <w:rFonts w:cs="Times New Roman"/>
          <w:szCs w:val="21"/>
        </w:rPr>
      </w:pPr>
      <w:r>
        <w:rPr>
          <w:rFonts w:cs="Times New Roman"/>
          <w:szCs w:val="21"/>
        </w:rPr>
        <w:t>天津汽修行业 VOCs排放种类主要是甲苯、乙酸正丁酯、对间二甲苯、对间二甲苯、1，2－二氯丙烷、乙苯、乙酸甲酯、环己烷、丙二醇单甲醚等，且不同的企业以及同一企业不同生产工序排放的特征VOCs 浓度有较大的差异。</w:t>
      </w:r>
    </w:p>
    <w:p>
      <w:pPr>
        <w:spacing w:before="163" w:beforeLines="50" w:line="312" w:lineRule="auto"/>
        <w:ind w:firstLine="480"/>
        <w:rPr>
          <w:rFonts w:cs="Times New Roman"/>
          <w:szCs w:val="21"/>
        </w:rPr>
      </w:pPr>
      <w:r>
        <w:rPr>
          <w:rFonts w:cs="Times New Roman"/>
          <w:szCs w:val="21"/>
        </w:rPr>
        <w:t>广州汽车生产喷涂工艺中的涂装喷漆室和涂装烘房室内的主要特征污染物为三甲苯类和四甲苯类物质。</w:t>
      </w:r>
    </w:p>
    <w:p>
      <w:pPr>
        <w:spacing w:before="163" w:beforeLines="50" w:line="312" w:lineRule="auto"/>
        <w:ind w:firstLine="480"/>
        <w:rPr>
          <w:rFonts w:cs="Times New Roman"/>
          <w:szCs w:val="21"/>
        </w:rPr>
      </w:pPr>
      <w:r>
        <w:rPr>
          <w:rFonts w:cs="Times New Roman"/>
          <w:szCs w:val="21"/>
        </w:rPr>
        <w:t>浙江杭州汽修企业的废气监测结果显示大部分企业乙酸丁酯的浓度含量明显高于甲苯、乙苯、二甲苯，最高可达 77.9%，同时乙苯、苯乙烯、环己酮等组分也常有检出（徐建芬，2012）。</w:t>
      </w:r>
    </w:p>
    <w:p>
      <w:pPr>
        <w:spacing w:before="163" w:beforeLines="50" w:line="312" w:lineRule="auto"/>
        <w:ind w:firstLine="480"/>
        <w:rPr>
          <w:rFonts w:cs="Times New Roman"/>
          <w:szCs w:val="21"/>
        </w:rPr>
      </w:pPr>
      <w:r>
        <w:rPr>
          <w:rFonts w:cs="Times New Roman"/>
          <w:szCs w:val="21"/>
        </w:rPr>
        <w:t>江苏南京汽修企业喷烤漆房的 VOCs 组分主要是甲苯、二甲苯、酯、氨、醚、醇和非甲烷总烃（刘浏，2016）。</w:t>
      </w:r>
    </w:p>
    <w:p>
      <w:pPr>
        <w:spacing w:before="163" w:beforeLines="50" w:line="312" w:lineRule="auto"/>
        <w:ind w:firstLine="480"/>
        <w:rPr>
          <w:rFonts w:cs="Times New Roman"/>
          <w:szCs w:val="21"/>
        </w:rPr>
      </w:pPr>
      <w:r>
        <w:rPr>
          <w:rFonts w:cs="Times New Roman"/>
          <w:szCs w:val="21"/>
        </w:rPr>
        <w:t>长三角地区汽修企业不同处理工艺差异较大，活性炭吸附处理对 VOCs 的物种组成并无明显影响（芳香烃为主），而催化燃烧的处理过程会使 VOCs 排放的物种组成产生显著变化（烯烃和炔烃为主）。</w:t>
      </w:r>
    </w:p>
    <w:p>
      <w:pPr>
        <w:spacing w:before="163" w:beforeLines="50" w:line="312" w:lineRule="auto"/>
        <w:ind w:firstLine="480"/>
        <w:rPr>
          <w:rFonts w:cs="Times New Roman"/>
          <w:szCs w:val="21"/>
        </w:rPr>
      </w:pPr>
      <w:r>
        <w:rPr>
          <w:rFonts w:cs="Times New Roman"/>
          <w:szCs w:val="21"/>
        </w:rPr>
        <w:t xml:space="preserve">珠三角地区汽修企业的废气组分中，最主要种类为芳香烃（间/对二甲苯、1,2,4-三甲苯、邻二甲苯、乙苯和间乙基甲苯）；其次是 </w:t>
      </w:r>
      <w:r>
        <w:rPr>
          <w:rFonts w:hint="eastAsia" w:cs="Times New Roman"/>
          <w:szCs w:val="21"/>
        </w:rPr>
        <w:t>O</w:t>
      </w:r>
      <w:r>
        <w:rPr>
          <w:rFonts w:cs="Times New Roman"/>
          <w:szCs w:val="21"/>
        </w:rPr>
        <w:t>VOCs（丙二醇甲醚醋酸酯和乙酸丁酯）；烷烃、烯烃和其他 VOCs（戊烷和己烷类物质）占比较小。</w:t>
      </w:r>
    </w:p>
    <w:p>
      <w:pPr>
        <w:pStyle w:val="5"/>
        <w:numPr>
          <w:ilvl w:val="0"/>
          <w:numId w:val="0"/>
        </w:numPr>
        <w:spacing w:before="163"/>
      </w:pPr>
      <w:bookmarkStart w:id="49" w:name="_Toc226540421"/>
      <w:r>
        <w:rPr>
          <w:rFonts w:hint="eastAsia" w:cs="Times New Roman"/>
          <w:szCs w:val="21"/>
        </w:rPr>
        <w:t>（2）重庆实测数据</w:t>
      </w:r>
      <w:bookmarkEnd w:id="49"/>
    </w:p>
    <w:p>
      <w:pPr>
        <w:spacing w:before="163" w:beforeLines="50" w:line="312" w:lineRule="auto"/>
        <w:ind w:firstLine="480"/>
        <w:rPr>
          <w:rFonts w:cs="Times New Roman"/>
          <w:szCs w:val="21"/>
        </w:rPr>
      </w:pPr>
      <w:r>
        <w:rPr>
          <w:rFonts w:cs="Times New Roman"/>
          <w:szCs w:val="21"/>
        </w:rPr>
        <w:t>研究选择10家汽修企业，针对2.5.1中物种开展现场监测</w:t>
      </w:r>
      <w:r>
        <w:rPr>
          <w:rFonts w:hint="eastAsia" w:cs="Times New Roman"/>
          <w:szCs w:val="21"/>
        </w:rPr>
        <w:t>，分析流程如下：</w:t>
      </w:r>
    </w:p>
    <w:p>
      <w:pPr>
        <w:spacing w:before="163" w:beforeLines="50" w:line="312" w:lineRule="auto"/>
        <w:ind w:firstLine="480"/>
        <w:rPr>
          <w:rFonts w:cs="Times New Roman"/>
          <w:szCs w:val="21"/>
        </w:rPr>
      </w:pPr>
      <w:r>
        <w:rPr>
          <w:rFonts w:cs="Times New Roman"/>
          <w:szCs w:val="21"/>
        </w:rPr>
        <w:t>废气经采样枪进入稀释采样器稀释10-100倍后转入苏玛罐，并带回实验室用苏玛罐预浓缩串联GCMS分析仪测试107种常见VOCs组分（PAMS+TO15）。实验分析采用安捷伦GC-MS/FID（色谱质谱联用）分析系统参考《环境空气挥发性有机物的测定罐采样/气相色谱-质谱法》（HJ759-2015）对样品中的VOCs 化合物进行定性定量分析，样品首先由ENTECH自动进样器进样，再通过ENTECH7200CTS-C2 预浓缩进入分析系统，C2使用毛细管富集技术，后端串接5米DB-1色谱柱，再与FID连接，使乙烷、乙烯和乙炔在FID 检测器上检测，其余104种目标化合物在MS 检测器上检测. FID 色谱柱为DB-1，5 m×0.05 mm×0.05 μm，MS 色谱柱为DB-1，60 m×0.25 mm×1.4 μm. MS 用全扫描（SCAN）和特征离子扫描（SIM）模式分析，目标化合物由色谱保留时间和MS图进行定性，通过内标法定量。</w:t>
      </w:r>
    </w:p>
    <w:p>
      <w:pPr>
        <w:spacing w:before="163" w:beforeLines="50" w:line="312" w:lineRule="auto"/>
        <w:ind w:firstLine="480"/>
        <w:rPr>
          <w:rFonts w:cs="Times New Roman"/>
          <w:szCs w:val="21"/>
        </w:rPr>
      </w:pPr>
      <w:r>
        <w:rPr>
          <w:rFonts w:hint="eastAsia" w:cs="Times New Roman"/>
          <w:szCs w:val="21"/>
        </w:rPr>
        <w:t>监测</w:t>
      </w:r>
      <w:r>
        <w:rPr>
          <w:rFonts w:cs="Times New Roman"/>
          <w:szCs w:val="21"/>
        </w:rPr>
        <w:t>结果显示，重庆本地汽修喷涂VOCs排放以芳香烃和含氧有机物为主（图2-5），与北京市的监测结果基本一致。主组分中，芳香烃以高臭氧生成潜势的二甲苯为主，对-二甲苯、间-二甲苯和邻-二甲苯合计占比超过80%（图2-6）；含氧有机物以乙酸乙酯（＞10%）、2-丁酮和乙酸乙烯酯为主。</w:t>
      </w:r>
    </w:p>
    <w:p>
      <w:pPr>
        <w:spacing w:line="240" w:lineRule="auto"/>
        <w:ind w:firstLine="0" w:firstLineChars="0"/>
        <w:rPr>
          <w:rFonts w:cs="Times New Roman"/>
        </w:rPr>
      </w:pPr>
      <w:r>
        <w:rPr>
          <w:rFonts w:cs="Times New Roman"/>
        </w:rPr>
        <w:drawing>
          <wp:inline distT="0" distB="0" distL="0" distR="0">
            <wp:extent cx="5274310" cy="2891790"/>
            <wp:effectExtent l="0" t="0" r="2540" b="381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240" w:lineRule="auto"/>
        <w:ind w:firstLine="0" w:firstLineChars="0"/>
        <w:jc w:val="center"/>
        <w:rPr>
          <w:rFonts w:cs="Times New Roman"/>
          <w:b/>
          <w:sz w:val="21"/>
          <w:szCs w:val="21"/>
        </w:rPr>
      </w:pPr>
      <w:r>
        <w:rPr>
          <w:rFonts w:hint="eastAsia" w:cs="Times New Roman"/>
          <w:b/>
          <w:sz w:val="21"/>
          <w:szCs w:val="21"/>
        </w:rPr>
        <w:t>图4.7 实测喷烤漆房排放VOCs种类</w:t>
      </w:r>
    </w:p>
    <w:p>
      <w:pPr>
        <w:spacing w:line="240" w:lineRule="auto"/>
        <w:ind w:firstLine="0" w:firstLineChars="0"/>
        <w:rPr>
          <w:rFonts w:cs="Times New Roman"/>
        </w:rPr>
      </w:pPr>
      <w:r>
        <w:rPr>
          <w:rFonts w:cs="Times New Roman"/>
        </w:rPr>
        <w:drawing>
          <wp:inline distT="0" distB="0" distL="0" distR="0">
            <wp:extent cx="5274310" cy="3008630"/>
            <wp:effectExtent l="0" t="0" r="2540" b="127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before="163" w:beforeLines="50" w:line="312" w:lineRule="auto"/>
        <w:ind w:firstLine="0" w:firstLineChars="0"/>
        <w:jc w:val="center"/>
        <w:rPr>
          <w:rFonts w:cs="Times New Roman"/>
          <w:b/>
          <w:sz w:val="21"/>
          <w:szCs w:val="21"/>
        </w:rPr>
      </w:pPr>
      <w:r>
        <w:rPr>
          <w:rFonts w:hint="eastAsia" w:cs="Times New Roman"/>
          <w:b/>
          <w:sz w:val="21"/>
          <w:szCs w:val="21"/>
        </w:rPr>
        <w:t>图4.8 实测喷烤漆房排放芳香烃种类</w:t>
      </w:r>
    </w:p>
    <w:p>
      <w:pPr>
        <w:pStyle w:val="4"/>
        <w:spacing w:before="163" w:after="163"/>
      </w:pPr>
      <w:bookmarkStart w:id="50" w:name="_Toc226540422"/>
      <w:r>
        <w:t>毒性</w:t>
      </w:r>
      <w:bookmarkEnd w:id="50"/>
    </w:p>
    <w:p>
      <w:pPr>
        <w:ind w:firstLine="480"/>
      </w:pPr>
      <w:r>
        <w:t>以表</w:t>
      </w:r>
      <w:r>
        <w:rPr>
          <w:rFonts w:hint="eastAsia"/>
        </w:rPr>
        <w:t>4</w:t>
      </w:r>
      <w:r>
        <w:t>-</w:t>
      </w:r>
      <w:r>
        <w:rPr>
          <w:rFonts w:hint="eastAsia"/>
        </w:rPr>
        <w:t>10</w:t>
      </w:r>
      <w:r>
        <w:t>所列的物质以及经企业调研所了解到的企业主要使用的有机溶剂种类为基础，分析其毒性。由表可见，异丙醇、正丁醇、乙酸乙酯、乙酸丁酯、丙酮、丁酮、环己酮等都属于低毒性，芳香烃类溶剂的毒性较大。</w:t>
      </w:r>
    </w:p>
    <w:p>
      <w:pPr>
        <w:widowControl/>
        <w:spacing w:before="163" w:beforeLines="50" w:after="163" w:afterLines="50"/>
        <w:ind w:firstLine="422"/>
        <w:jc w:val="center"/>
        <w:rPr>
          <w:b/>
          <w:sz w:val="21"/>
          <w:szCs w:val="21"/>
        </w:rPr>
      </w:pPr>
      <w:r>
        <w:rPr>
          <w:b/>
          <w:sz w:val="21"/>
          <w:szCs w:val="21"/>
        </w:rPr>
        <w:t>表</w:t>
      </w:r>
      <w:r>
        <w:rPr>
          <w:rFonts w:hint="eastAsia"/>
          <w:b/>
          <w:sz w:val="21"/>
          <w:szCs w:val="21"/>
        </w:rPr>
        <w:t>4-10</w:t>
      </w:r>
      <w:r>
        <w:rPr>
          <w:b/>
          <w:sz w:val="21"/>
          <w:szCs w:val="21"/>
        </w:rPr>
        <w:t xml:space="preserve">  汽车</w:t>
      </w:r>
      <w:r>
        <w:rPr>
          <w:rFonts w:hint="eastAsia"/>
          <w:b/>
          <w:sz w:val="21"/>
          <w:szCs w:val="21"/>
        </w:rPr>
        <w:t>维修</w:t>
      </w:r>
      <w:r>
        <w:rPr>
          <w:b/>
          <w:sz w:val="21"/>
          <w:szCs w:val="21"/>
        </w:rPr>
        <w:t>主要使用的几类有机溶剂的毒性</w:t>
      </w:r>
    </w:p>
    <w:tbl>
      <w:tblPr>
        <w:tblStyle w:val="3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71"/>
        <w:gridCol w:w="6540"/>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397" w:hRule="atLeast"/>
          <w:jc w:val="center"/>
        </w:trPr>
        <w:tc>
          <w:tcPr>
            <w:tcW w:w="600" w:type="dxa"/>
            <w:vAlign w:val="center"/>
          </w:tcPr>
          <w:p>
            <w:pPr>
              <w:spacing w:line="320" w:lineRule="exact"/>
              <w:ind w:firstLine="0" w:firstLineChars="0"/>
              <w:jc w:val="center"/>
              <w:rPr>
                <w:rFonts w:cs="Times New Roman"/>
                <w:b/>
                <w:sz w:val="21"/>
                <w:szCs w:val="21"/>
              </w:rPr>
            </w:pPr>
            <w:r>
              <w:rPr>
                <w:rFonts w:cs="Times New Roman"/>
                <w:b/>
                <w:sz w:val="21"/>
                <w:szCs w:val="21"/>
              </w:rPr>
              <w:t>序号</w:t>
            </w:r>
          </w:p>
        </w:tc>
        <w:tc>
          <w:tcPr>
            <w:tcW w:w="1371" w:type="dxa"/>
            <w:vAlign w:val="center"/>
          </w:tcPr>
          <w:p>
            <w:pPr>
              <w:spacing w:line="320" w:lineRule="exact"/>
              <w:ind w:firstLine="0" w:firstLineChars="0"/>
              <w:jc w:val="center"/>
              <w:rPr>
                <w:rFonts w:cs="Times New Roman"/>
                <w:b/>
                <w:sz w:val="21"/>
                <w:szCs w:val="21"/>
              </w:rPr>
            </w:pPr>
            <w:r>
              <w:rPr>
                <w:rFonts w:cs="Times New Roman"/>
                <w:b/>
                <w:sz w:val="21"/>
                <w:szCs w:val="21"/>
              </w:rPr>
              <w:t>物质名称</w:t>
            </w:r>
          </w:p>
        </w:tc>
        <w:tc>
          <w:tcPr>
            <w:tcW w:w="6540" w:type="dxa"/>
            <w:vAlign w:val="center"/>
          </w:tcPr>
          <w:p>
            <w:pPr>
              <w:spacing w:line="320" w:lineRule="exact"/>
              <w:ind w:firstLine="0" w:firstLineChars="0"/>
              <w:jc w:val="center"/>
              <w:rPr>
                <w:rFonts w:cs="Times New Roman"/>
                <w:b/>
                <w:sz w:val="21"/>
                <w:szCs w:val="21"/>
              </w:rPr>
            </w:pPr>
            <w:r>
              <w:rPr>
                <w:rFonts w:cs="Times New Roman"/>
                <w:b/>
                <w:sz w:val="21"/>
                <w:szCs w:val="21"/>
              </w:rPr>
              <w:t>毒性及危害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1</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苯</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三致物质。属中等毒性，高浓度苯对中枢神经系统有麻醉作用，引起急性中毒；长期接触苯对造血系统有损害，引起慢性中毒。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2</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甲苯</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属中等毒性。LD50：1000mg/kg （大鼠经口）12124 mg/kg（兔经皮），LC50：5320ppm  8 小时 （小鼠吸入）;对皮肤、粘膜有刺激作用，对中枢神经系统有麻醉作用。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3</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二甲苯</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属中等毒性，通过吸入、食入、经皮吸收产生影响。LD50 (大鼠经口)5000mg/Kg，LC50 (大鼠吸入)19747mg/m3，4 小时，大鼠经口最低中毒剂量（TDL0）：19 mg/m3。二甲苯对眼睛及上呼吸道有刺激作用，高浓度对中枢神经有麻醉作用，短时吸入较高浓度本品可出现眼及上呼吸道刺激症状，眼结膜及咽部充血、头晕、头痛、恶心、胸闷、四肢无力，重者可有躁动、抽搐或昏迷，有的有癔病样发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4</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三甲苯</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（连三甲苯，偏三甲苯，均三甲苯）的蒸气或雾对眼、粘膜和上呼吸道有刺激性。接触后可引起头痛、头晕、恶心、麻醉作用。可引起皮炎。均三甲苯毒性强度与二甲苯相同。空气中最高容许浓度为125mg/m3。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6</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丁醇</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毒性：属低毒类。健康危害：本品具有刺激和麻醉作用。主要症状为眼、鼻、喉部刺激，在角膜浅层形成半透明的空泡，头痛，头晕和嗜睡，手部可以生接触性皮炎。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8</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乙酸丁酯</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属低毒类。对眼及上呼吸道均有强烈的刺激作用，有麻醉作用。吸入高浓度本品出现流泪、咽痛、咳嗽、胸闷、气短等，严重者出现心血管和神经系统的症状可引起结膜炎、角膜炎，角膜上皮有空泡形成。皮肤接触可引起皮肤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9</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丁酮</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属低毒类。健康危害：对眼、鼻、喉、粘膜有刺激性。长期接触可致皮炎。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10</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甲基异丁基酮</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毒性：属低毒类。健康危害：具有麻醉和刺激作用。人吸入4.1g/m3时引起中枢神经系统的抑制和麻醉； 吸0.41～2.05g/m3时，可引起胃肠道反应，如恶心、呕吐、食欲不振、腹泻，以及呼吸道刺激症状；低于 84mg/m3时没有不适感。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11</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丙酮</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属低毒类。健康危害：急性中毒主要表现为对中枢神经系统的麻醉作用，出现乏力、恶心、头痛、头晕、易激动。重者发生呕吐、气急、痉挛，甚至昏迷。对眼、鼻、喉有刺激性。口服后，口唇、咽喉有烧灼感，然后出现口干、呕吐、昏迷、酸中毒和酮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00" w:type="dxa"/>
            <w:vAlign w:val="center"/>
          </w:tcPr>
          <w:p>
            <w:pPr>
              <w:spacing w:line="320" w:lineRule="exact"/>
              <w:ind w:firstLine="0" w:firstLineChars="0"/>
              <w:jc w:val="center"/>
              <w:rPr>
                <w:rFonts w:cs="Times New Roman"/>
                <w:sz w:val="21"/>
                <w:szCs w:val="21"/>
              </w:rPr>
            </w:pPr>
            <w:r>
              <w:rPr>
                <w:rFonts w:cs="Times New Roman"/>
                <w:sz w:val="21"/>
                <w:szCs w:val="21"/>
              </w:rPr>
              <w:t>12</w:t>
            </w:r>
          </w:p>
        </w:tc>
        <w:tc>
          <w:tcPr>
            <w:tcW w:w="1371" w:type="dxa"/>
            <w:vAlign w:val="center"/>
          </w:tcPr>
          <w:p>
            <w:pPr>
              <w:spacing w:line="320" w:lineRule="exact"/>
              <w:ind w:firstLine="0" w:firstLineChars="0"/>
              <w:jc w:val="center"/>
              <w:rPr>
                <w:rFonts w:cs="Times New Roman"/>
                <w:sz w:val="21"/>
                <w:szCs w:val="21"/>
              </w:rPr>
            </w:pPr>
            <w:r>
              <w:rPr>
                <w:rFonts w:cs="Times New Roman"/>
                <w:sz w:val="21"/>
                <w:szCs w:val="21"/>
              </w:rPr>
              <w:t>环己酮</w:t>
            </w:r>
          </w:p>
        </w:tc>
        <w:tc>
          <w:tcPr>
            <w:tcW w:w="6551" w:type="dxa"/>
            <w:gridSpan w:val="2"/>
            <w:vAlign w:val="center"/>
          </w:tcPr>
          <w:p>
            <w:pPr>
              <w:spacing w:line="320" w:lineRule="exact"/>
              <w:ind w:firstLine="0" w:firstLineChars="0"/>
              <w:rPr>
                <w:rFonts w:cs="Times New Roman"/>
                <w:sz w:val="21"/>
                <w:szCs w:val="21"/>
              </w:rPr>
            </w:pPr>
            <w:r>
              <w:rPr>
                <w:rFonts w:cs="Times New Roman"/>
                <w:sz w:val="21"/>
                <w:szCs w:val="21"/>
              </w:rPr>
              <w:t>毒性：属低毒类。 健康危害：本品具有麻醉和刺激作用。液体对皮肤有刺激性；眼接触有可能造成角膜损害。慢性影响：长期反复接触可致皮炎。</w:t>
            </w:r>
          </w:p>
        </w:tc>
      </w:tr>
    </w:tbl>
    <w:p>
      <w:pPr>
        <w:pStyle w:val="44"/>
        <w:ind w:firstLine="0" w:firstLineChars="0"/>
        <w:rPr>
          <w:rFonts w:cs="Times New Roman"/>
        </w:rPr>
      </w:pPr>
    </w:p>
    <w:bookmarkEnd w:id="16"/>
    <w:p>
      <w:pPr>
        <w:pStyle w:val="2"/>
        <w:numPr>
          <w:ilvl w:val="0"/>
          <w:numId w:val="0"/>
        </w:numPr>
        <w:spacing w:before="163" w:after="163"/>
        <w:ind w:left="432" w:hanging="432"/>
        <w:rPr>
          <w:rFonts w:ascii="Times New Roman" w:hAnsi="Times New Roman" w:cs="Times New Roman"/>
        </w:rPr>
        <w:sectPr>
          <w:footerReference r:id="rId13" w:type="first"/>
          <w:footerReference r:id="rId12" w:type="default"/>
          <w:pgSz w:w="11906" w:h="16838"/>
          <w:pgMar w:top="1440" w:right="1800" w:bottom="1440" w:left="1800" w:header="851" w:footer="992" w:gutter="0"/>
          <w:pgNumType w:fmt="numberInDash"/>
          <w:cols w:space="425" w:num="1"/>
          <w:titlePg/>
          <w:docGrid w:type="lines" w:linePitch="326" w:charSpace="0"/>
        </w:sectPr>
      </w:pPr>
      <w:bookmarkStart w:id="51" w:name="_Toc27660226"/>
    </w:p>
    <w:p>
      <w:pPr>
        <w:pStyle w:val="2"/>
        <w:spacing w:before="156" w:after="156"/>
        <w:rPr>
          <w:rFonts w:ascii="Times New Roman" w:hAnsi="Times New Roman" w:cs="Times New Roman"/>
        </w:rPr>
      </w:pPr>
      <w:bookmarkStart w:id="52" w:name="_Toc226540423"/>
      <w:r>
        <w:rPr>
          <w:rFonts w:ascii="Times New Roman" w:hAnsi="Times New Roman" w:cs="Times New Roman"/>
        </w:rPr>
        <w:t>汽车</w:t>
      </w:r>
      <w:r>
        <w:rPr>
          <w:rFonts w:hint="eastAsia" w:ascii="Times New Roman" w:hAnsi="Times New Roman" w:cs="Times New Roman"/>
        </w:rPr>
        <w:t>维修行业</w:t>
      </w:r>
      <w:r>
        <w:rPr>
          <w:rFonts w:ascii="Times New Roman" w:hAnsi="Times New Roman" w:cs="Times New Roman"/>
        </w:rPr>
        <w:t>污染控制技术</w:t>
      </w:r>
      <w:bookmarkEnd w:id="52"/>
    </w:p>
    <w:p>
      <w:pPr>
        <w:pStyle w:val="3"/>
        <w:spacing w:before="156" w:after="156"/>
      </w:pPr>
      <w:bookmarkStart w:id="53" w:name="_Toc226540424"/>
      <w:r>
        <w:t>污染预防技术</w:t>
      </w:r>
      <w:bookmarkEnd w:id="53"/>
    </w:p>
    <w:p>
      <w:pPr>
        <w:spacing w:before="156"/>
        <w:ind w:firstLine="480"/>
      </w:pPr>
      <w:r>
        <w:rPr>
          <w:rFonts w:hint="eastAsia"/>
        </w:rPr>
        <w:t>在源头控制阶段，提倡使用低挥发性有机物含量的原辅材料。汽修行业VOCs排放主要来源于修补用料，包括底漆、面漆、清漆、稀释剂、固化剂。研究表明：水性面漆和稀释剂中VOCs含量远低于溶剂型，采用水性漆替代可以有效减少VOCs的产生量，除水性漆外，还有高固体分涂料、粉末涂料等，依照工艺、质量要求选择合适的低挥发性有机物含量的原料替代。</w:t>
      </w:r>
    </w:p>
    <w:p>
      <w:pPr>
        <w:pStyle w:val="4"/>
        <w:spacing w:before="156" w:after="156"/>
      </w:pPr>
      <w:bookmarkStart w:id="54" w:name="_Toc226540425"/>
      <w:r>
        <w:rPr>
          <w:rFonts w:hint="eastAsia"/>
        </w:rPr>
        <w:t>水性涂料替代技术</w:t>
      </w:r>
      <w:bookmarkEnd w:id="54"/>
    </w:p>
    <w:p>
      <w:pPr>
        <w:spacing w:before="156"/>
        <w:ind w:firstLine="480"/>
      </w:pPr>
      <w:r>
        <w:t>该技术主要适用于乘用车、载货汽车及驾驶室、客车和其他冲压焊接件的涂装工序。水性涂料以</w:t>
      </w:r>
      <w:r>
        <w:rPr>
          <w:rFonts w:hint="eastAsia"/>
        </w:rPr>
        <w:t>水</w:t>
      </w:r>
      <w:r>
        <w:t>作为溶剂或分散介质，以天然或人工合成树脂作为成膜物质，辅以各种颜料、填料及助剂，经过一定的配漆工艺制作而成。水性涂料应满足 GB 24409、GB/T 38597 的产品技术要求。水性涂料包括水性中涂漆、水性底色漆和水性本色面漆，VOCs 质量占比一般为 5%～12%、12%～17%和 10%～18%。</w:t>
      </w:r>
    </w:p>
    <w:p>
      <w:pPr>
        <w:pStyle w:val="4"/>
        <w:spacing w:before="156" w:after="156"/>
      </w:pPr>
      <w:bookmarkStart w:id="55" w:name="_Toc226540426"/>
      <w:r>
        <w:t>水性清洗溶剂替代技术</w:t>
      </w:r>
      <w:bookmarkEnd w:id="55"/>
    </w:p>
    <w:p>
      <w:pPr>
        <w:spacing w:before="156"/>
        <w:ind w:firstLine="480"/>
      </w:pPr>
      <w:r>
        <w:rPr>
          <w:rFonts w:hint="eastAsia"/>
        </w:rPr>
        <w:t>该技术适用于水性涂料输漆管线和喷涂设备的清洗，也适用于喷漆室的清洁维护及喷漆室格栅和工装载具的清理等。水性清洗溶剂由助剂（与水混溶的醇类、胺类等物质）、表面活性剂和水配制而成。水性清洗溶剂应满足</w:t>
      </w:r>
      <w:r>
        <w:t>GB</w:t>
      </w:r>
      <w:r>
        <w:rPr>
          <w:rFonts w:hint="eastAsia"/>
        </w:rPr>
        <w:t xml:space="preserve"> </w:t>
      </w:r>
      <w:r>
        <w:t>38508</w:t>
      </w:r>
      <w:r>
        <w:rPr>
          <w:rFonts w:hint="eastAsia"/>
        </w:rPr>
        <w:t>的产品技术要求。水性清洗溶剂中</w:t>
      </w:r>
      <w:r>
        <w:t>VOCs</w:t>
      </w:r>
      <w:r>
        <w:rPr>
          <w:rFonts w:hint="eastAsia"/>
        </w:rPr>
        <w:t>质量占比一般为</w:t>
      </w:r>
      <w:r>
        <w:t>3%</w:t>
      </w:r>
      <w:r>
        <w:rPr>
          <w:rFonts w:hint="eastAsia"/>
        </w:rPr>
        <w:t>～</w:t>
      </w:r>
      <w:r>
        <w:t>20%</w:t>
      </w:r>
      <w:r>
        <w:rPr>
          <w:rFonts w:hint="eastAsia"/>
        </w:rPr>
        <w:t>。</w:t>
      </w:r>
    </w:p>
    <w:p>
      <w:pPr>
        <w:pStyle w:val="4"/>
        <w:spacing w:before="156" w:after="156"/>
      </w:pPr>
      <w:bookmarkStart w:id="56" w:name="_Toc226540427"/>
      <w:r>
        <w:t>高固体分溶剂型涂料替代技术</w:t>
      </w:r>
      <w:bookmarkEnd w:id="56"/>
    </w:p>
    <w:p>
      <w:pPr>
        <w:spacing w:before="156"/>
        <w:ind w:firstLine="480"/>
      </w:pPr>
      <w:r>
        <w:rPr>
          <w:rFonts w:hint="eastAsia"/>
        </w:rPr>
        <w:t>该技术主要适用于乘用车、载货汽车及驾驶室、客车及其他冲压焊接件的涂装工序。高固体分溶剂</w:t>
      </w:r>
      <w:r>
        <w:t>型涂料以有机溶剂为分散介质，以合成低聚物替代天然或人工合成树脂作为成膜物质并以此降低涂料黏度和减少有机溶剂用量，辅以各种颜料、填料和助剂，经过一定的配漆工艺制作而成。高固体分溶剂型涂料应满足GB 24409、GB/T 38597 的产品技术要求。 高固体分溶剂型涂料包括高固体分溶剂型中涂漆、高固体分溶剂型底色漆、高固体分溶剂型本色面 漆和高固体分溶剂型清漆，VOCs 质量占比一般为 30%～45%、40%～58%、30%～50%和 35%～48%。</w:t>
      </w:r>
    </w:p>
    <w:p>
      <w:pPr>
        <w:pStyle w:val="3"/>
        <w:spacing w:before="156" w:after="156"/>
      </w:pPr>
      <w:bookmarkStart w:id="57" w:name="_Toc226540428"/>
      <w:r>
        <w:t>污染治理技术</w:t>
      </w:r>
      <w:bookmarkEnd w:id="57"/>
    </w:p>
    <w:p>
      <w:pPr>
        <w:pStyle w:val="4"/>
        <w:spacing w:before="156" w:after="156"/>
      </w:pPr>
      <w:bookmarkStart w:id="58" w:name="_Toc226540429"/>
      <w:r>
        <w:rPr>
          <w:rFonts w:hint="eastAsia"/>
        </w:rPr>
        <w:t>漆雾处理</w:t>
      </w:r>
      <w:r>
        <w:t>技术</w:t>
      </w:r>
      <w:bookmarkEnd w:id="58"/>
      <w:r>
        <w:t xml:space="preserve"> </w:t>
      </w:r>
    </w:p>
    <w:p>
      <w:pPr>
        <w:spacing w:before="156"/>
        <w:ind w:firstLine="480"/>
      </w:pPr>
      <w:r>
        <w:rPr>
          <w:rFonts w:hint="eastAsia"/>
        </w:rPr>
        <w:t>喷涂修复汽车表面过程中，通常存在大量的过喷涂漆雾，雾中液体溶剂和固体颗粒物并存，而液体溶剂以气溶胶的形式存在，其颗粒度小、黏度大，需要对漆雾颗粒进行高效收集和治理，否则极易造成环境污染与破坏。针对颗粒物治理技术，主要使用干式去除法和湿式去除法。</w:t>
      </w:r>
    </w:p>
    <w:p>
      <w:pPr>
        <w:spacing w:before="156"/>
        <w:ind w:firstLine="480"/>
      </w:pPr>
      <w:r>
        <w:rPr>
          <w:rFonts w:hint="eastAsia"/>
        </w:rPr>
        <w:t>干式去除法是指利用过滤材料对漆雾进行过滤与拦截，所采用的主要材料有地网棉、初效棉、中效棉、漆雾棉、迷宫纸和玻纤阻网等，并且需定期更换过滤材料。具体过程为：过滤材料被回定在过滤装置上，风机将含有漆雾的废气抽入后经过过滤材料，风速降低，漆雾颗粒被截留、黏附在滤料上，废气经过过滤后，飘粒物明显降低至相关排放标准，减少向空气中排放。</w:t>
      </w:r>
    </w:p>
    <w:p>
      <w:pPr>
        <w:spacing w:before="156"/>
        <w:ind w:firstLine="480"/>
      </w:pPr>
      <w:r>
        <w:rPr>
          <w:rFonts w:hint="eastAsia"/>
        </w:rPr>
        <w:t>湿式去除法是一种利用液态物质喷淋来捕捉喷漆颗粒物的技术。所采用的液态物质多为水溶液，利用水旋式、文丘里式、水帘式（水幕式）等方式，促进水与漆雾充分混合捕提颗粒物，从而达到降低题粒物排放的效果，其中，为实现固液分离、净化循环水，从而提高利用率并且降低成本，通常会在水中添加絮剂。此技术会增加废水处理的费用。</w:t>
      </w:r>
    </w:p>
    <w:p>
      <w:pPr>
        <w:spacing w:before="156"/>
        <w:ind w:firstLine="0" w:firstLineChars="0"/>
        <w:jc w:val="center"/>
        <w:rPr>
          <w:b/>
          <w:sz w:val="21"/>
          <w:szCs w:val="21"/>
        </w:rPr>
      </w:pPr>
      <w:r>
        <w:rPr>
          <w:rFonts w:hint="eastAsia"/>
          <w:b/>
          <w:sz w:val="21"/>
          <w:szCs w:val="21"/>
        </w:rPr>
        <w:t xml:space="preserve">表5-1 </w:t>
      </w:r>
      <w:r>
        <w:rPr>
          <w:b/>
          <w:sz w:val="21"/>
          <w:szCs w:val="21"/>
        </w:rPr>
        <w:t>汽车维修行业漆雾处理技术</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8"/>
        <w:gridCol w:w="2693"/>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rPr>
                <w:b/>
                <w:bCs/>
              </w:rPr>
            </w:pPr>
            <w:r>
              <w:rPr>
                <w:rFonts w:hint="eastAsia"/>
                <w:b/>
                <w:bCs/>
              </w:rPr>
              <w:t>处理技术</w:t>
            </w:r>
          </w:p>
        </w:tc>
        <w:tc>
          <w:tcPr>
            <w:tcW w:w="2268"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rPr>
                <w:b/>
                <w:bCs/>
              </w:rPr>
            </w:pPr>
            <w:r>
              <w:rPr>
                <w:rFonts w:hint="eastAsia"/>
                <w:b/>
                <w:bCs/>
              </w:rPr>
              <w:t>优点</w:t>
            </w:r>
          </w:p>
        </w:tc>
        <w:tc>
          <w:tcPr>
            <w:tcW w:w="2693"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rPr>
                <w:b/>
                <w:bCs/>
              </w:rPr>
            </w:pPr>
            <w:r>
              <w:rPr>
                <w:rFonts w:hint="eastAsia"/>
                <w:b/>
                <w:bCs/>
              </w:rPr>
              <w:t>缺点</w:t>
            </w:r>
          </w:p>
        </w:tc>
        <w:tc>
          <w:tcPr>
            <w:tcW w:w="1780"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rPr>
                <w:b/>
                <w:bCs/>
              </w:rPr>
            </w:pPr>
            <w:r>
              <w:rPr>
                <w:rFonts w:hint="eastAsia"/>
                <w:b/>
                <w:bCs/>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pPr>
            <w:r>
              <w:rPr>
                <w:rFonts w:hint="eastAsia"/>
              </w:rPr>
              <w:t>干式去除法</w:t>
            </w:r>
          </w:p>
        </w:tc>
        <w:tc>
          <w:tcPr>
            <w:tcW w:w="2268"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捕捉效率高（约为 98%）；无水污染问题；设备简单，噪音小，能耗低</w:t>
            </w:r>
          </w:p>
        </w:tc>
        <w:tc>
          <w:tcPr>
            <w:tcW w:w="2693"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需要频繁更换过滤材料；清理、维护工作频繁；过滤漆雾不彻底，设备污染严重</w:t>
            </w:r>
          </w:p>
        </w:tc>
        <w:tc>
          <w:tcPr>
            <w:tcW w:w="1780"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工件体积小，相对而言更适合汽车维修喷涂行业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center"/>
              <w:textAlignment w:val="auto"/>
              <w:outlineLvl w:val="9"/>
            </w:pPr>
            <w:r>
              <w:rPr>
                <w:rFonts w:hint="eastAsia"/>
              </w:rPr>
              <w:t>湿式去除法</w:t>
            </w:r>
          </w:p>
        </w:tc>
        <w:tc>
          <w:tcPr>
            <w:tcW w:w="2268"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处理的容漆量大、日常维护操作简单；漆雾处理稳定；安全性高</w:t>
            </w:r>
          </w:p>
        </w:tc>
        <w:tc>
          <w:tcPr>
            <w:tcW w:w="2693"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存在水污染，需治理；造价高，清理难度大；要求的风机风压高，增加涂料消耗</w:t>
            </w:r>
          </w:p>
        </w:tc>
        <w:tc>
          <w:tcPr>
            <w:tcW w:w="1780" w:type="dxa"/>
            <w:vAlign w:val="center"/>
          </w:tcPr>
          <w:p>
            <w:pPr>
              <w:keepNext w:val="0"/>
              <w:keepLines w:val="0"/>
              <w:pageBreakBefore w:val="0"/>
              <w:widowControl w:val="0"/>
              <w:kinsoku/>
              <w:wordWrap/>
              <w:overflowPunct/>
              <w:topLinePunct w:val="0"/>
              <w:autoSpaceDE/>
              <w:autoSpaceDN/>
              <w:bidi w:val="0"/>
              <w:adjustRightInd/>
              <w:snapToGrid w:val="0"/>
              <w:spacing w:before="156" w:line="240" w:lineRule="auto"/>
              <w:ind w:firstLine="0" w:firstLineChars="0"/>
              <w:jc w:val="left"/>
              <w:textAlignment w:val="auto"/>
              <w:outlineLvl w:val="9"/>
            </w:pPr>
            <w:r>
              <w:rPr>
                <w:rFonts w:hint="eastAsia"/>
              </w:rPr>
              <w:t>适合大批量的、工艺成型流水线式的车体涂装车间</w:t>
            </w:r>
          </w:p>
        </w:tc>
      </w:tr>
    </w:tbl>
    <w:p>
      <w:pPr>
        <w:pStyle w:val="4"/>
        <w:spacing w:before="156" w:after="156"/>
      </w:pPr>
      <w:bookmarkStart w:id="59" w:name="_Toc226540430"/>
      <w:r>
        <w:rPr>
          <w:rFonts w:hint="eastAsia"/>
        </w:rPr>
        <w:t>喷涂</w:t>
      </w:r>
      <w:r>
        <w:t>VOCs治理技术</w:t>
      </w:r>
      <w:bookmarkEnd w:id="59"/>
      <w:r>
        <w:t xml:space="preserve"> </w:t>
      </w:r>
    </w:p>
    <w:p>
      <w:pPr>
        <w:spacing w:before="156"/>
        <w:ind w:firstLine="480"/>
      </w:pPr>
      <w:r>
        <w:rPr>
          <w:rFonts w:hint="eastAsia"/>
        </w:rPr>
        <w:t>VOCs治理技术包括回收利用技术、销毁技术以及这两种技术的组合形式，汽车维修行业常见的VOCs末端治理技术及其适用性如下所述。</w:t>
      </w:r>
    </w:p>
    <w:p>
      <w:pPr>
        <w:pStyle w:val="5"/>
        <w:numPr>
          <w:ilvl w:val="0"/>
          <w:numId w:val="6"/>
        </w:numPr>
        <w:spacing w:before="156"/>
        <w:ind w:left="900"/>
      </w:pPr>
      <w:bookmarkStart w:id="60" w:name="_Toc226540431"/>
      <w:r>
        <w:rPr>
          <w:rFonts w:hint="eastAsia"/>
        </w:rPr>
        <w:t>吸附法</w:t>
      </w:r>
      <w:bookmarkEnd w:id="60"/>
      <w:r>
        <w:t xml:space="preserve"> </w:t>
      </w:r>
    </w:p>
    <w:p>
      <w:pPr>
        <w:spacing w:before="156"/>
        <w:ind w:firstLine="480"/>
      </w:pPr>
      <w:r>
        <w:rPr>
          <w:rFonts w:hint="eastAsia"/>
        </w:rPr>
        <w:t>吸附技术是目前工业VOCs治理的主流技术之一，是较为经典的气体净化技术。活性炭被广泛应用于吸附回收有机气体和吸附剂循环使用中，其比表面积大、微孔多、吸附能力强、吸附速率快且能吸附不同分子量的物质可再生利用且制作活性炭的原料廉价充足，制备工艺也相对简单，适用于处理低浓度有机废气。喷涂行业一般采用活性炭作为吸附剂，对醇类、苯、醋酸及有机烃类具有较好的吸附效果。选用吸附容量更大、效率更高的蜂窝活性炭、活性炭纤维等吸附剂净化效率较高。</w:t>
      </w:r>
    </w:p>
    <w:p>
      <w:pPr>
        <w:pStyle w:val="5"/>
        <w:spacing w:before="156"/>
      </w:pPr>
      <w:bookmarkStart w:id="61" w:name="_Toc226540432"/>
      <w:r>
        <w:rPr>
          <w:rFonts w:hint="eastAsia"/>
        </w:rPr>
        <w:t>热力燃烧法</w:t>
      </w:r>
      <w:bookmarkEnd w:id="61"/>
      <w:r>
        <w:t xml:space="preserve"> </w:t>
      </w:r>
    </w:p>
    <w:p>
      <w:pPr>
        <w:spacing w:before="156"/>
        <w:ind w:firstLine="480"/>
      </w:pPr>
      <w:r>
        <w:rPr>
          <w:rFonts w:hint="eastAsia"/>
        </w:rPr>
        <w:t>将废气作燃料加热到有机溶剂的燃点温度以上(760-980</w:t>
      </w:r>
      <w:r>
        <w:rPr>
          <w:rFonts w:cs="Times New Roman"/>
        </w:rPr>
        <w:t>℃</w:t>
      </w:r>
      <w:r>
        <w:rPr>
          <w:rFonts w:hint="eastAsia"/>
        </w:rPr>
        <w:t>)进行燃烧净化。适用于处理高浓度、小气量的可燃性气体，净化效率高，有机废气被彻底氧化分解，缺点：设备易腐蚀，安装与运行成本高，易形成二次污染。</w:t>
      </w:r>
    </w:p>
    <w:p>
      <w:pPr>
        <w:pStyle w:val="5"/>
        <w:spacing w:before="156"/>
      </w:pPr>
      <w:bookmarkStart w:id="62" w:name="_Toc226540433"/>
      <w:r>
        <w:rPr>
          <w:rFonts w:hint="eastAsia"/>
        </w:rPr>
        <w:t>催化燃烧法</w:t>
      </w:r>
      <w:bookmarkEnd w:id="62"/>
      <w:r>
        <w:t xml:space="preserve"> </w:t>
      </w:r>
    </w:p>
    <w:p>
      <w:pPr>
        <w:spacing w:before="156"/>
        <w:ind w:firstLine="480"/>
      </w:pPr>
      <w:r>
        <w:rPr>
          <w:rFonts w:hint="eastAsia"/>
        </w:rPr>
        <w:t>在催化剂的作用下，使有机度气中的碳氢化合物在温度较低的条件下迅速氧化成水和二氧化碳，达到治理的目的。缺点:易催化剂中毒，投入成本高。</w:t>
      </w:r>
    </w:p>
    <w:p>
      <w:pPr>
        <w:pStyle w:val="5"/>
        <w:spacing w:before="156"/>
      </w:pPr>
      <w:bookmarkStart w:id="63" w:name="_Toc226540434"/>
      <w:r>
        <w:rPr>
          <w:rFonts w:hint="eastAsia"/>
        </w:rPr>
        <w:t>蓄热燃烧法</w:t>
      </w:r>
      <w:bookmarkEnd w:id="63"/>
      <w:r>
        <w:t xml:space="preserve"> </w:t>
      </w:r>
    </w:p>
    <w:p>
      <w:pPr>
        <w:spacing w:before="156"/>
        <w:ind w:firstLine="480"/>
      </w:pPr>
      <w:r>
        <w:rPr>
          <w:rFonts w:hint="eastAsia"/>
        </w:rPr>
        <w:t>蓄热式燃烧技术采用了热量回收系统，回收燃烧后高温气体的热量用于预热进入系统的废气，与传统的催化燃烧、直燃式热氧化炉(TO)相比，具有热效率高、运行成本低、能处理大风量低浓度废气特点，浓度稍高时，还可进行二次余热回收，大大降低生产运营成本。RTO适用于绝大部分的有机废气，能够处理大风量、低浓度废气，同时对废气流量弹性很大，能够适应废气中污染物的组成和浓度的变化、波动。</w:t>
      </w:r>
    </w:p>
    <w:p>
      <w:pPr>
        <w:pStyle w:val="5"/>
        <w:spacing w:before="156"/>
      </w:pPr>
      <w:bookmarkStart w:id="64" w:name="_Toc226540435"/>
      <w:r>
        <w:rPr>
          <w:rFonts w:hint="eastAsia"/>
        </w:rPr>
        <w:t>活性炭吸附脱附+催化氧化</w:t>
      </w:r>
      <w:bookmarkEnd w:id="64"/>
      <w:r>
        <w:t xml:space="preserve"> </w:t>
      </w:r>
    </w:p>
    <w:p>
      <w:pPr>
        <w:spacing w:before="156"/>
        <w:ind w:firstLine="480"/>
      </w:pPr>
      <w:r>
        <w:rPr>
          <w:rFonts w:hint="eastAsia"/>
        </w:rPr>
        <w:t>活性碳吸附脱附+催化气化的工艺使用中，将喷漆和烤漆的 VOCs 废气吸附于装填有活性炭的吸附床上，干净空气被排出；活性炭吸附饱和后，热空气送入吸附床对活性炭进行脱附再生;脱附产生的高浓度VOCs气体，进入催化氧化床分解，干净的热空气用于活性炭脱附再生。目前市场已有专门为汽车维修行业量身定制的采用该工艺的度气处理系统，设备高度集成，占地面积少，安装投资成本和运行费用适中，适合规模较小、排放量不高经济效益也不高的维修企业选用。实际处理效率可达到50%-70%，对于源头替代措施实施较到位的汽车维修企业采用该技术可实现达标排放。</w:t>
      </w:r>
    </w:p>
    <w:p>
      <w:pPr>
        <w:pStyle w:val="5"/>
        <w:spacing w:before="156"/>
      </w:pPr>
      <w:bookmarkStart w:id="65" w:name="_Toc226540436"/>
      <w:r>
        <w:rPr>
          <w:rFonts w:hint="eastAsia"/>
        </w:rPr>
        <w:t>吸附浓缩+燃烧</w:t>
      </w:r>
      <w:bookmarkEnd w:id="65"/>
      <w:r>
        <w:t xml:space="preserve"> </w:t>
      </w:r>
    </w:p>
    <w:p>
      <w:pPr>
        <w:spacing w:before="156"/>
        <w:ind w:firstLine="480"/>
      </w:pPr>
      <w:r>
        <w:rPr>
          <w:rFonts w:hint="eastAsia"/>
        </w:rPr>
        <w:t>吸附浓缩+燃烧是国内外低浓度、大风量VOCs治理的主流技术之一，将吸附技术和催化燃烧技术有机地结合起来的一种组合技术。次设备投资和运维费用较高，适合规模大，废气风量大、浓度高或不稳定、排放量高，经济效益好的维修企业选用。气体通过活性炭吸附装置后，将饱和的活性炭解析出来的有机气体通过脱附引风机作用送入净化装置，在较低温度下，在化剂的作用下使度气中的可燃组分彻底氧化分解，从而使气体得到净化处理的一种废气处理方法。该项技术更为先进的装置是沸石转轮吸附浓缩+催化燃烧，采用优质的疏水性石分子筛作为吸附介质，取代活性炭，具有良好的吸附选择性和吸附容量大等特点，原位再生后可重复使用，而无须经常更换介质，但投资费用较高，在汽车维修行业推广较为困难。</w:t>
      </w:r>
    </w:p>
    <w:p>
      <w:pPr>
        <w:spacing w:before="156"/>
        <w:ind w:firstLine="0" w:firstLineChars="0"/>
        <w:jc w:val="center"/>
        <w:rPr>
          <w:b/>
          <w:sz w:val="21"/>
          <w:szCs w:val="21"/>
        </w:rPr>
      </w:pPr>
      <w:r>
        <w:rPr>
          <w:rFonts w:hint="eastAsia"/>
          <w:b/>
          <w:sz w:val="21"/>
          <w:szCs w:val="21"/>
        </w:rPr>
        <w:t>表5-2 不同VOCs治理技术适用范围与优缺点</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85"/>
        <w:gridCol w:w="2966"/>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rPr>
                <w:b/>
                <w:bCs/>
              </w:rPr>
            </w:pPr>
            <w:r>
              <w:rPr>
                <w:rFonts w:hint="eastAsia"/>
                <w:b/>
                <w:bCs/>
              </w:rPr>
              <w:t>处理技术</w:t>
            </w:r>
          </w:p>
        </w:tc>
        <w:tc>
          <w:tcPr>
            <w:tcW w:w="1985" w:type="dxa"/>
            <w:vAlign w:val="center"/>
          </w:tcPr>
          <w:p>
            <w:pPr>
              <w:spacing w:before="156"/>
              <w:ind w:firstLine="0" w:firstLineChars="0"/>
              <w:jc w:val="center"/>
              <w:rPr>
                <w:b/>
                <w:bCs/>
              </w:rPr>
            </w:pPr>
            <w:r>
              <w:rPr>
                <w:rFonts w:hint="eastAsia"/>
                <w:b/>
                <w:bCs/>
              </w:rPr>
              <w:t>优点</w:t>
            </w:r>
          </w:p>
        </w:tc>
        <w:tc>
          <w:tcPr>
            <w:tcW w:w="2966" w:type="dxa"/>
            <w:vAlign w:val="center"/>
          </w:tcPr>
          <w:p>
            <w:pPr>
              <w:spacing w:before="156"/>
              <w:ind w:firstLine="0" w:firstLineChars="0"/>
              <w:jc w:val="center"/>
              <w:rPr>
                <w:b/>
                <w:bCs/>
              </w:rPr>
            </w:pPr>
            <w:r>
              <w:rPr>
                <w:rFonts w:hint="eastAsia"/>
                <w:b/>
                <w:bCs/>
              </w:rPr>
              <w:t>缺点</w:t>
            </w:r>
          </w:p>
        </w:tc>
        <w:tc>
          <w:tcPr>
            <w:tcW w:w="2074" w:type="dxa"/>
            <w:vAlign w:val="center"/>
          </w:tcPr>
          <w:p>
            <w:pPr>
              <w:spacing w:before="156"/>
              <w:ind w:firstLine="0" w:firstLineChars="0"/>
              <w:jc w:val="center"/>
              <w:rPr>
                <w:b/>
                <w:bCs/>
              </w:rPr>
            </w:pPr>
            <w:r>
              <w:rPr>
                <w:rFonts w:hint="eastAsia"/>
                <w:b/>
                <w:bCs/>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吸附法</w:t>
            </w:r>
          </w:p>
        </w:tc>
        <w:tc>
          <w:tcPr>
            <w:tcW w:w="1985" w:type="dxa"/>
            <w:vAlign w:val="center"/>
          </w:tcPr>
          <w:p>
            <w:pPr>
              <w:spacing w:before="156"/>
              <w:ind w:firstLine="0" w:firstLineChars="0"/>
            </w:pPr>
            <w:r>
              <w:rPr>
                <w:rFonts w:hint="eastAsia"/>
              </w:rPr>
              <w:t>能耗低，工艺成熟，设备简单，易于自动化控制</w:t>
            </w:r>
          </w:p>
        </w:tc>
        <w:tc>
          <w:tcPr>
            <w:tcW w:w="2966" w:type="dxa"/>
            <w:vAlign w:val="center"/>
          </w:tcPr>
          <w:p>
            <w:pPr>
              <w:spacing w:before="156"/>
              <w:ind w:firstLine="0" w:firstLineChars="0"/>
            </w:pPr>
            <w:r>
              <w:rPr>
                <w:rFonts w:hint="eastAsia"/>
              </w:rPr>
              <w:t>不适用于高浓度、高温的有机废气。且吸附材料需定期更换，吸附剂再生、运行费用高，监管困难</w:t>
            </w:r>
          </w:p>
        </w:tc>
        <w:tc>
          <w:tcPr>
            <w:tcW w:w="2074" w:type="dxa"/>
            <w:vAlign w:val="center"/>
          </w:tcPr>
          <w:p>
            <w:pPr>
              <w:spacing w:before="156"/>
              <w:ind w:firstLine="0" w:firstLineChars="0"/>
            </w:pPr>
            <w:r>
              <w:rPr>
                <w:rFonts w:hint="eastAsia"/>
              </w:rPr>
              <w:t>适用于中低浓度的VOC的净化，一般度气浓度&lt;1500mg/m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热力燃烧</w:t>
            </w:r>
          </w:p>
        </w:tc>
        <w:tc>
          <w:tcPr>
            <w:tcW w:w="1985" w:type="dxa"/>
            <w:vAlign w:val="center"/>
          </w:tcPr>
          <w:p>
            <w:pPr>
              <w:spacing w:before="156"/>
              <w:ind w:firstLine="0" w:firstLineChars="0"/>
            </w:pPr>
            <w:r>
              <w:rPr>
                <w:rFonts w:hint="eastAsia"/>
              </w:rPr>
              <w:t>投资低，无二次污染</w:t>
            </w:r>
          </w:p>
        </w:tc>
        <w:tc>
          <w:tcPr>
            <w:tcW w:w="2966" w:type="dxa"/>
            <w:vAlign w:val="center"/>
          </w:tcPr>
          <w:p>
            <w:pPr>
              <w:spacing w:before="156"/>
              <w:ind w:firstLine="0" w:firstLineChars="0"/>
            </w:pPr>
            <w:r>
              <w:rPr>
                <w:rFonts w:hint="eastAsia"/>
              </w:rPr>
              <w:t>反应温度高，能耗高、运行费用较高</w:t>
            </w:r>
          </w:p>
        </w:tc>
        <w:tc>
          <w:tcPr>
            <w:tcW w:w="2074" w:type="dxa"/>
            <w:vMerge w:val="restart"/>
            <w:vAlign w:val="center"/>
          </w:tcPr>
          <w:p>
            <w:pPr>
              <w:spacing w:before="156"/>
              <w:ind w:firstLine="0" w:firstLineChars="0"/>
            </w:pPr>
            <w:r>
              <w:rPr>
                <w:rFonts w:hint="eastAsia"/>
              </w:rPr>
              <w:t>适用于中高浓度且无回收利用价值的有机废气治理，其中催化燃烧技术不适用于废气中含催化剂中毒的VOCs 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催化燃烧</w:t>
            </w:r>
          </w:p>
        </w:tc>
        <w:tc>
          <w:tcPr>
            <w:tcW w:w="1985" w:type="dxa"/>
            <w:vAlign w:val="center"/>
          </w:tcPr>
          <w:p>
            <w:pPr>
              <w:spacing w:before="156"/>
              <w:ind w:firstLine="0" w:firstLineChars="0"/>
            </w:pPr>
            <w:r>
              <w:rPr>
                <w:rFonts w:hint="eastAsia"/>
              </w:rPr>
              <w:t>反应温度低，运行费用低</w:t>
            </w:r>
          </w:p>
        </w:tc>
        <w:tc>
          <w:tcPr>
            <w:tcW w:w="2966" w:type="dxa"/>
            <w:vAlign w:val="center"/>
          </w:tcPr>
          <w:p>
            <w:pPr>
              <w:spacing w:before="156"/>
              <w:ind w:firstLine="0" w:firstLineChars="0"/>
            </w:pPr>
            <w:r>
              <w:rPr>
                <w:rFonts w:hint="eastAsia"/>
              </w:rPr>
              <w:t>催化剂的费用较高且只有一定的寿命</w:t>
            </w:r>
          </w:p>
        </w:tc>
        <w:tc>
          <w:tcPr>
            <w:tcW w:w="2074" w:type="dxa"/>
            <w:vMerge w:val="continue"/>
            <w:vAlign w:val="center"/>
          </w:tcPr>
          <w:p>
            <w:pPr>
              <w:spacing w:before="156"/>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蓄热燃烧</w:t>
            </w:r>
          </w:p>
        </w:tc>
        <w:tc>
          <w:tcPr>
            <w:tcW w:w="1985" w:type="dxa"/>
            <w:vAlign w:val="center"/>
          </w:tcPr>
          <w:p>
            <w:pPr>
              <w:spacing w:before="156"/>
              <w:ind w:firstLine="0" w:firstLineChars="0"/>
            </w:pPr>
            <w:r>
              <w:rPr>
                <w:rFonts w:hint="eastAsia"/>
              </w:rPr>
              <w:t>热利用效率高，设备运行费用低</w:t>
            </w:r>
          </w:p>
        </w:tc>
        <w:tc>
          <w:tcPr>
            <w:tcW w:w="2966" w:type="dxa"/>
            <w:vAlign w:val="center"/>
          </w:tcPr>
          <w:p>
            <w:pPr>
              <w:spacing w:before="156"/>
              <w:ind w:firstLine="0" w:firstLineChars="0"/>
            </w:pPr>
            <w:r>
              <w:rPr>
                <w:rFonts w:hint="eastAsia"/>
              </w:rPr>
              <w:t>费用较高，对间歇式排放处理不经济</w:t>
            </w:r>
          </w:p>
        </w:tc>
        <w:tc>
          <w:tcPr>
            <w:tcW w:w="2074" w:type="dxa"/>
            <w:vMerge w:val="continue"/>
            <w:vAlign w:val="center"/>
          </w:tcPr>
          <w:p>
            <w:pPr>
              <w:spacing w:before="156"/>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活性炭吸附脱附+催化氧化</w:t>
            </w:r>
          </w:p>
        </w:tc>
        <w:tc>
          <w:tcPr>
            <w:tcW w:w="1985" w:type="dxa"/>
            <w:vAlign w:val="center"/>
          </w:tcPr>
          <w:p>
            <w:pPr>
              <w:spacing w:before="156"/>
              <w:ind w:firstLine="0" w:firstLineChars="0"/>
            </w:pPr>
            <w:r>
              <w:rPr>
                <w:rFonts w:hint="eastAsia"/>
              </w:rPr>
              <w:t>VOCs去除效率高一次投入相对较低</w:t>
            </w:r>
          </w:p>
        </w:tc>
        <w:tc>
          <w:tcPr>
            <w:tcW w:w="2966" w:type="dxa"/>
            <w:vAlign w:val="center"/>
          </w:tcPr>
          <w:p>
            <w:pPr>
              <w:spacing w:before="156"/>
              <w:ind w:firstLine="0" w:firstLineChars="0"/>
            </w:pPr>
            <w:r>
              <w:rPr>
                <w:rFonts w:hint="eastAsia"/>
              </w:rPr>
              <w:t>不适用于高沸点有机物的净化；对高湿度有机废气的去除效率较低</w:t>
            </w:r>
          </w:p>
        </w:tc>
        <w:tc>
          <w:tcPr>
            <w:tcW w:w="2074" w:type="dxa"/>
            <w:vAlign w:val="center"/>
          </w:tcPr>
          <w:p>
            <w:pPr>
              <w:spacing w:before="156"/>
              <w:ind w:firstLine="0" w:firstLineChars="0"/>
            </w:pPr>
            <w:r>
              <w:rPr>
                <w:rFonts w:hint="eastAsia"/>
              </w:rPr>
              <w:t>适用于中低浓度、大风VOCs的治理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spacing w:before="156"/>
              <w:ind w:firstLine="0" w:firstLineChars="0"/>
              <w:jc w:val="center"/>
            </w:pPr>
            <w:r>
              <w:rPr>
                <w:rFonts w:hint="eastAsia"/>
              </w:rPr>
              <w:t>吸附浓缩+燃烧</w:t>
            </w:r>
          </w:p>
        </w:tc>
        <w:tc>
          <w:tcPr>
            <w:tcW w:w="1985" w:type="dxa"/>
            <w:vAlign w:val="center"/>
          </w:tcPr>
          <w:p>
            <w:pPr>
              <w:spacing w:before="156"/>
              <w:ind w:firstLine="0" w:firstLineChars="0"/>
            </w:pPr>
            <w:r>
              <w:rPr>
                <w:rFonts w:hint="eastAsia"/>
              </w:rPr>
              <w:t>安全性高，VOCs去除效率高且稳定</w:t>
            </w:r>
          </w:p>
        </w:tc>
        <w:tc>
          <w:tcPr>
            <w:tcW w:w="2966" w:type="dxa"/>
            <w:vAlign w:val="center"/>
          </w:tcPr>
          <w:p>
            <w:pPr>
              <w:spacing w:before="156"/>
              <w:ind w:firstLine="0" w:firstLineChars="0"/>
            </w:pPr>
            <w:r>
              <w:rPr>
                <w:rFonts w:hint="eastAsia"/>
              </w:rPr>
              <w:t>一次性投资高</w:t>
            </w:r>
          </w:p>
        </w:tc>
        <w:tc>
          <w:tcPr>
            <w:tcW w:w="2074" w:type="dxa"/>
            <w:vAlign w:val="center"/>
          </w:tcPr>
          <w:p>
            <w:pPr>
              <w:spacing w:before="156"/>
              <w:ind w:firstLine="0" w:firstLineChars="0"/>
            </w:pPr>
            <w:r>
              <w:rPr>
                <w:rFonts w:hint="eastAsia"/>
              </w:rPr>
              <w:t>适用于低浓度、大风VOCs 的治理持放</w:t>
            </w:r>
          </w:p>
        </w:tc>
      </w:tr>
    </w:tbl>
    <w:p>
      <w:pPr>
        <w:pStyle w:val="3"/>
        <w:spacing w:before="156" w:after="156"/>
      </w:pPr>
      <w:bookmarkStart w:id="66" w:name="_Toc226540437"/>
      <w:r>
        <w:rPr>
          <w:rFonts w:hint="eastAsia"/>
        </w:rPr>
        <w:t>无组织排放控制措施</w:t>
      </w:r>
      <w:bookmarkEnd w:id="66"/>
    </w:p>
    <w:p>
      <w:pPr>
        <w:pStyle w:val="4"/>
        <w:spacing w:before="156" w:after="156"/>
      </w:pPr>
      <w:bookmarkStart w:id="67" w:name="_Toc226540438"/>
      <w:r>
        <w:rPr>
          <w:rFonts w:hint="eastAsia"/>
        </w:rPr>
        <w:t>物料储存、运输</w:t>
      </w:r>
      <w:bookmarkEnd w:id="67"/>
    </w:p>
    <w:p>
      <w:pPr>
        <w:spacing w:before="156"/>
        <w:ind w:firstLine="480"/>
      </w:pPr>
      <w:r>
        <w:rPr>
          <w:rFonts w:hint="eastAsia"/>
        </w:rPr>
        <w:t>油漆、稀释剂、固化剂、腻子等VOCs物料应存储于密闭容器、包装袋、储库、料仓中，盛装VOCs物料的容器或包装袋应存放于室内，或存放于设置有雨棚、遮阳和防渗设施的场地:在非取用状态应加盖、封口，保持密闭:转运过程应采用密闭容器，推荐使用密闭管道输送。</w:t>
      </w:r>
    </w:p>
    <w:p>
      <w:pPr>
        <w:pStyle w:val="4"/>
        <w:spacing w:before="156" w:after="156"/>
      </w:pPr>
      <w:bookmarkStart w:id="68" w:name="_Toc226540439"/>
      <w:r>
        <w:rPr>
          <w:rFonts w:hint="eastAsia"/>
        </w:rPr>
        <w:t>表面处理</w:t>
      </w:r>
      <w:bookmarkEnd w:id="68"/>
    </w:p>
    <w:p>
      <w:pPr>
        <w:spacing w:before="156"/>
        <w:ind w:firstLine="480"/>
      </w:pPr>
      <w:r>
        <w:rPr>
          <w:rFonts w:hint="eastAsia"/>
        </w:rPr>
        <w:t>汽车修理过程中的表面处理包括打磨、刮腻子、抛光等流程，由于腻子中也含有VOC，可能在使用过程中产生VOCs逸散，同时打磨工序存在颗粒物的排放。建议表面前处理打磨、腻子等工序应在密闭空间内进行，未在密闭空间内进行的应配备专用的治理设施。</w:t>
      </w:r>
    </w:p>
    <w:p>
      <w:pPr>
        <w:pStyle w:val="4"/>
        <w:spacing w:before="156" w:after="156"/>
      </w:pPr>
      <w:bookmarkStart w:id="69" w:name="_Toc226540440"/>
      <w:r>
        <w:rPr>
          <w:rFonts w:hint="eastAsia"/>
        </w:rPr>
        <w:t>调漆</w:t>
      </w:r>
      <w:bookmarkEnd w:id="69"/>
    </w:p>
    <w:p>
      <w:pPr>
        <w:spacing w:before="156"/>
        <w:ind w:firstLine="480"/>
      </w:pPr>
      <w:r>
        <w:rPr>
          <w:rFonts w:hint="eastAsia"/>
        </w:rPr>
        <w:t>调漆包括混合基料、稀释剂、固化剂、色漆等，是前必不可少的一个环节，调漆过程应在专用的调配间或其他密闭空间内进行，同时建议使用调漆浆盖进行作业。调漆浆盖具有密封性好，精确控制出漆量，并且可以在取用油漆的时候最大限度地减少VOCs的无组织逸散。</w:t>
      </w:r>
    </w:p>
    <w:p>
      <w:pPr>
        <w:pStyle w:val="4"/>
        <w:spacing w:before="156" w:after="156"/>
      </w:pPr>
      <w:bookmarkStart w:id="70" w:name="_Toc226540441"/>
      <w:r>
        <w:rPr>
          <w:rFonts w:hint="eastAsia"/>
        </w:rPr>
        <w:t>喷烤漆</w:t>
      </w:r>
      <w:bookmarkEnd w:id="70"/>
    </w:p>
    <w:p>
      <w:pPr>
        <w:spacing w:before="156"/>
        <w:ind w:firstLine="480"/>
      </w:pPr>
      <w:r>
        <w:rPr>
          <w:rFonts w:hint="eastAsia"/>
        </w:rPr>
        <w:t>汽车维修必须配备喷烤漆房及设备，并且需通过交通产品认证，进行喷漆作业的汽车维修店均应配备至少一间喷烤漆房。所有喷漆施工，不论单一漆面修补或整车喷涂，均须在喷烤漆房内进行。喷烤漆作业过程中喷漆房须处于密闭，排风开启状态，最高限度收集漆雾与喷漆废气。喷漆间需要定期维护，避免由于喷漆间的损坏或不能密封造成不必要的VOCs排放。</w:t>
      </w:r>
    </w:p>
    <w:p>
      <w:pPr>
        <w:spacing w:before="156"/>
        <w:ind w:firstLine="480"/>
      </w:pPr>
      <w:r>
        <w:rPr>
          <w:rFonts w:hint="eastAsia"/>
        </w:rPr>
        <w:t>在喷漆的过程中，鼓励采用静电喷涂、高压无气喷涂技术，减少使用空气喷涂技术。应使用喷涂效率较高的喷枪，推荐使用高流低压喷枪(HVLP)，可以提高传质效率，增加喷涂的附着率，减少油漆使用量，减少VOCs的拌放。美国、欧盟、香港等地发布的汽车维修行业指南中也提到高流量低压(HVIP)喷枪比一般的高压喷枪节省物料多达20%-25%，同时HVLP 喷枪以极低的风帽雾化压力雾化涂料，提高油漆的附着力，减少飞散及反弹，可有效降VOCs排放约30%--45%。</w:t>
      </w:r>
    </w:p>
    <w:p>
      <w:pPr>
        <w:pStyle w:val="4"/>
        <w:spacing w:before="156" w:after="156"/>
      </w:pPr>
      <w:bookmarkStart w:id="71" w:name="_Toc226540442"/>
      <w:r>
        <w:t>清洗</w:t>
      </w:r>
      <w:bookmarkEnd w:id="71"/>
    </w:p>
    <w:p>
      <w:pPr>
        <w:spacing w:before="156"/>
        <w:ind w:firstLine="480"/>
      </w:pPr>
      <w:r>
        <w:rPr>
          <w:rFonts w:hint="eastAsia"/>
        </w:rPr>
        <w:t>受成本及操作便捷性的影响，汽车维修企业多使用纯溶剂稀释剂来进行洗清，洗过程应采用密闭设备或在密闭空间内进行操作，废气应排至VOCs废气收集处理系统；无法密闭的，应采取局部气体收集措施后进行处理。采用集气罩对废气进行局部收集的，集气罩设施应符合GB/T 16758的规定，采用外部排风罩的，最远控制点风速不应低于0.3m/s。根据香港环境保护署“应用含低挥发性有机化合物及水落性汽车修补漆所需设备技术指引”，在清洗的过程中，使用喷枪清洗机可以有效减少VOCs的挥发，并且及时有效地收集废旧溶剂，将整个清洗工序的VOCs排放降低，是一种高效环保的喷枪清洗设备。</w:t>
      </w:r>
    </w:p>
    <w:p>
      <w:pPr>
        <w:spacing w:before="156"/>
        <w:ind w:firstLine="480"/>
      </w:pPr>
    </w:p>
    <w:p>
      <w:pPr>
        <w:pStyle w:val="2"/>
        <w:spacing w:before="156" w:after="156"/>
        <w:rPr>
          <w:rFonts w:ascii="Times New Roman" w:hAnsi="Times New Roman" w:cs="Times New Roman"/>
        </w:rPr>
      </w:pPr>
      <w:bookmarkStart w:id="72" w:name="_Toc226540443"/>
      <w:r>
        <w:rPr>
          <w:rFonts w:ascii="Times New Roman" w:hAnsi="Times New Roman" w:cs="Times New Roman"/>
        </w:rPr>
        <w:t>重庆市</w:t>
      </w:r>
      <w:bookmarkEnd w:id="51"/>
      <w:r>
        <w:rPr>
          <w:rFonts w:ascii="Times New Roman" w:hAnsi="Times New Roman" w:cs="Times New Roman"/>
        </w:rPr>
        <w:t>汽车</w:t>
      </w:r>
      <w:r>
        <w:rPr>
          <w:rFonts w:hint="eastAsia" w:ascii="Times New Roman" w:hAnsi="Times New Roman" w:cs="Times New Roman"/>
        </w:rPr>
        <w:t>维修行业</w:t>
      </w:r>
      <w:r>
        <w:rPr>
          <w:rFonts w:ascii="Times New Roman" w:hAnsi="Times New Roman" w:cs="Times New Roman"/>
        </w:rPr>
        <w:t>排放现状</w:t>
      </w:r>
      <w:bookmarkEnd w:id="72"/>
    </w:p>
    <w:p>
      <w:pPr>
        <w:pStyle w:val="3"/>
        <w:spacing w:before="156" w:after="156"/>
        <w:rPr>
          <w:rFonts w:ascii="Times New Roman" w:hAnsi="Times New Roman" w:cs="Times New Roman"/>
        </w:rPr>
      </w:pPr>
      <w:bookmarkStart w:id="73" w:name="_Toc226540444"/>
      <w:r>
        <w:rPr>
          <w:rFonts w:ascii="Times New Roman" w:hAnsi="Times New Roman" w:cs="Times New Roman"/>
        </w:rPr>
        <w:t>行业现状</w:t>
      </w:r>
      <w:bookmarkEnd w:id="73"/>
      <w:bookmarkStart w:id="74" w:name="_Toc27660227"/>
    </w:p>
    <w:p>
      <w:pPr>
        <w:pStyle w:val="4"/>
        <w:spacing w:before="156" w:after="156"/>
      </w:pPr>
      <w:bookmarkStart w:id="75" w:name="_Toc226540445"/>
      <w:r>
        <w:rPr>
          <w:rFonts w:hint="eastAsia"/>
        </w:rPr>
        <w:t>行业定义</w:t>
      </w:r>
      <w:bookmarkEnd w:id="75"/>
    </w:p>
    <w:p>
      <w:pPr>
        <w:spacing w:before="156"/>
        <w:ind w:firstLine="480"/>
      </w:pPr>
      <w:r>
        <w:rPr>
          <w:rFonts w:hint="eastAsia"/>
        </w:rPr>
        <w:t>《机动车维修管理规定》实施细则中机动车维修经营包括从事汽车维修、危险货物运输车辆维修、摩托车维修和其他机动车维修（指从事转向作业的轮式车辆和拖拉机运输机组的维修）经营。本标准主要对（机动车维修中）从事汽车维修的行业企业中挥发性有机物排放进行限制和管理。</w:t>
      </w:r>
    </w:p>
    <w:p>
      <w:pPr>
        <w:spacing w:before="156"/>
        <w:ind w:firstLine="480"/>
      </w:pPr>
      <w:r>
        <w:rPr>
          <w:rFonts w:hint="eastAsia"/>
        </w:rPr>
        <w:t>汽车维修企业根据经营项目和服务能力分为可从事一类维修或者二类维修业务的整车维修企业和可以从事三类维修业务的专项维修企业。一类汽车整车维修企业和二类汽车整车维修企业（GB/T 16739.1 汽车维修业开业条件 第1部分：汽车整车维修企业是指有能力对所维修车型的整车、各个总成及主要零部件进行各级维护、维修及更换，使汽车的技术状况和运行性能完全（或接近完全）回复到原车的技术要求，并符合相应国家标准和行业标准的规定的汽车维修企业。按规模大小分为一类汽车整车维修企业和二类汽车整车维修企业；汽车专项维修业企业（GB/T 16739.2-2004汽车维修业开业条件 第2部分：汽车专项维修业户是指从事汽车发动机、车身、电气系统、自动变速器、车身清洁维护、涂漆、轮胎动平衡及修补、四轮定位监测调整、供油系统维护及油品更换、喷油泵和喷油器维修、曲轴修磨、气缸磨、散热器（水箱）、空调维修、汽车装潢（篷布、布垫及内装饰）、汽车玻璃安装等专项维修作业的业户（三类）。</w:t>
      </w:r>
    </w:p>
    <w:p>
      <w:pPr>
        <w:spacing w:before="156"/>
        <w:ind w:firstLine="480"/>
      </w:pPr>
      <w:r>
        <w:rPr>
          <w:rFonts w:hint="eastAsia"/>
        </w:rPr>
        <w:t>在所有汽车维修项目中对环境空气产生污染的最主要项目是喷涂漆和烘干，因此，主要对使用或部分使用溶剂型或水性涂料进行喷涂、烘干等作业的汽车维修企业的大气污染防治技术及相关规定开展研究。</w:t>
      </w:r>
    </w:p>
    <w:p>
      <w:pPr>
        <w:pStyle w:val="4"/>
        <w:spacing w:before="156" w:after="156"/>
      </w:pPr>
      <w:bookmarkStart w:id="76" w:name="_Toc226540446"/>
      <w:r>
        <w:rPr>
          <w:rFonts w:hint="eastAsia"/>
        </w:rPr>
        <w:t>发展现状</w:t>
      </w:r>
      <w:bookmarkEnd w:id="76"/>
    </w:p>
    <w:p>
      <w:pPr>
        <w:spacing w:before="156"/>
        <w:ind w:firstLine="480"/>
      </w:pPr>
      <w:r>
        <w:drawing>
          <wp:anchor distT="0" distB="0" distL="114300" distR="114300" simplePos="0" relativeHeight="251659264" behindDoc="0" locked="0" layoutInCell="1" allowOverlap="1">
            <wp:simplePos x="0" y="0"/>
            <wp:positionH relativeFrom="column">
              <wp:posOffset>206375</wp:posOffset>
            </wp:positionH>
            <wp:positionV relativeFrom="paragraph">
              <wp:posOffset>1462405</wp:posOffset>
            </wp:positionV>
            <wp:extent cx="4900930" cy="2743200"/>
            <wp:effectExtent l="0" t="0" r="14605" b="0"/>
            <wp:wrapTopAndBottom/>
            <wp:docPr id="9872474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hint="eastAsia"/>
        </w:rPr>
        <w:t>近些年随着社会的发展，城市的扩张，重庆市民用车辆拥有量也在持续的增加。《重庆市汽车维修业大气污染物排放标准》(DB 50/661-2016)出台以来，重庆市全市区民用车辆拥有量呈逐年增加的趋势，截止2024年底，全市民用汽车拥有量为955.99万辆，较2016年增加445.74万辆，增长87%（图6.1）。同期，机动车维修保养行业快速发展。</w:t>
      </w:r>
    </w:p>
    <w:p>
      <w:pPr>
        <w:spacing w:before="156"/>
        <w:ind w:firstLine="0" w:firstLineChars="0"/>
        <w:jc w:val="center"/>
        <w:rPr>
          <w:b/>
          <w:sz w:val="21"/>
          <w:szCs w:val="21"/>
        </w:rPr>
      </w:pPr>
      <w:r>
        <w:rPr>
          <w:rFonts w:hint="eastAsia"/>
          <w:b/>
          <w:sz w:val="21"/>
          <w:szCs w:val="21"/>
        </w:rPr>
        <w:t>图6.1 重庆市民用车辆拥有量变化趋势</w:t>
      </w:r>
    </w:p>
    <w:p>
      <w:pPr>
        <w:pStyle w:val="4"/>
        <w:spacing w:before="156" w:after="156"/>
      </w:pPr>
      <w:bookmarkStart w:id="77" w:name="_Toc226540447"/>
      <w:r>
        <w:rPr>
          <w:rFonts w:hint="eastAsia"/>
        </w:rPr>
        <w:t>企业数量及分布</w:t>
      </w:r>
      <w:bookmarkEnd w:id="77"/>
    </w:p>
    <w:p>
      <w:pPr>
        <w:spacing w:before="156" w:line="240" w:lineRule="auto"/>
        <w:ind w:firstLine="480"/>
      </w:pPr>
      <w:r>
        <w:t>高德地图</w:t>
      </w:r>
      <w:r>
        <w:rPr>
          <w:rFonts w:hint="eastAsia"/>
        </w:rPr>
        <w:t>检索</w:t>
      </w:r>
      <w:r>
        <w:t>共获取了重庆市内的</w:t>
      </w:r>
      <w:r>
        <w:rPr>
          <w:rFonts w:hint="eastAsia"/>
        </w:rPr>
        <w:t>9426</w:t>
      </w:r>
      <w:r>
        <w:t>家汽修企业信息。</w:t>
      </w:r>
      <w:r>
        <w:rPr>
          <w:rFonts w:hint="eastAsia"/>
        </w:rPr>
        <w:t>从区县汽修企业数量占比来看，九龙坡区占比最高，达8.6%；江津、沙坪坝和万州区占比超过5%；南岸、永川、江北、开州、合川、北碚、大足占比3%-4%；其余区县占比低于3%。</w:t>
      </w:r>
    </w:p>
    <w:p>
      <w:pPr>
        <w:spacing w:before="156" w:line="240" w:lineRule="auto"/>
        <w:ind w:firstLine="0" w:firstLineChars="0"/>
        <w:jc w:val="center"/>
      </w:pPr>
      <w:r>
        <w:rPr>
          <w:rFonts w:hint="eastAsia"/>
        </w:rPr>
        <w:drawing>
          <wp:inline distT="0" distB="0" distL="0" distR="0">
            <wp:extent cx="3476625" cy="2929255"/>
            <wp:effectExtent l="0" t="0" r="0" b="4445"/>
            <wp:docPr id="11255175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17588" name="图片 2"/>
                    <pic:cNvPicPr>
                      <a:picLocks noChangeAspect="1" noChangeArrowheads="1"/>
                    </pic:cNvPicPr>
                  </pic:nvPicPr>
                  <pic:blipFill>
                    <a:blip r:embed="rId27">
                      <a:extLst>
                        <a:ext uri="{28A0092B-C50C-407E-A947-70E740481C1C}">
                          <a14:useLocalDpi xmlns:a14="http://schemas.microsoft.com/office/drawing/2010/main" val="0"/>
                        </a:ext>
                      </a:extLst>
                    </a:blip>
                    <a:srcRect r="40711"/>
                    <a:stretch>
                      <a:fillRect/>
                    </a:stretch>
                  </pic:blipFill>
                  <pic:spPr>
                    <a:xfrm>
                      <a:off x="0" y="0"/>
                      <a:ext cx="3476625" cy="2929255"/>
                    </a:xfrm>
                    <a:prstGeom prst="rect">
                      <a:avLst/>
                    </a:prstGeom>
                    <a:noFill/>
                    <a:ln>
                      <a:noFill/>
                    </a:ln>
                  </pic:spPr>
                </pic:pic>
              </a:graphicData>
            </a:graphic>
          </wp:inline>
        </w:drawing>
      </w:r>
    </w:p>
    <w:p>
      <w:pPr>
        <w:spacing w:before="156"/>
        <w:ind w:firstLine="0" w:firstLineChars="0"/>
        <w:jc w:val="center"/>
        <w:rPr>
          <w:b/>
          <w:sz w:val="21"/>
          <w:szCs w:val="21"/>
        </w:rPr>
      </w:pPr>
      <w:r>
        <w:rPr>
          <w:rFonts w:hint="eastAsia"/>
          <w:b/>
          <w:sz w:val="21"/>
          <w:szCs w:val="21"/>
        </w:rPr>
        <w:t>图6.2 重庆市各区县汽修企业数量及分布情况</w:t>
      </w:r>
    </w:p>
    <w:p>
      <w:pPr>
        <w:spacing w:before="156" w:line="240" w:lineRule="auto"/>
        <w:ind w:firstLine="0" w:firstLineChars="0"/>
      </w:pPr>
      <w:r>
        <w:drawing>
          <wp:inline distT="0" distB="0" distL="0" distR="0">
            <wp:extent cx="5294630" cy="2746375"/>
            <wp:effectExtent l="0" t="0" r="1270" b="0"/>
            <wp:docPr id="1823248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854"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07490" cy="2753442"/>
                    </a:xfrm>
                    <a:prstGeom prst="rect">
                      <a:avLst/>
                    </a:prstGeom>
                    <a:noFill/>
                  </pic:spPr>
                </pic:pic>
              </a:graphicData>
            </a:graphic>
          </wp:inline>
        </w:drawing>
      </w:r>
    </w:p>
    <w:p>
      <w:pPr>
        <w:spacing w:before="156"/>
        <w:ind w:firstLine="0" w:firstLineChars="0"/>
        <w:jc w:val="center"/>
        <w:rPr>
          <w:b/>
          <w:sz w:val="21"/>
          <w:szCs w:val="21"/>
        </w:rPr>
      </w:pPr>
      <w:r>
        <w:rPr>
          <w:rFonts w:hint="eastAsia"/>
          <w:b/>
          <w:sz w:val="21"/>
          <w:szCs w:val="21"/>
        </w:rPr>
        <w:t>图6.3 重庆市各区县汽修企业数量占比</w:t>
      </w:r>
    </w:p>
    <w:bookmarkEnd w:id="74"/>
    <w:p>
      <w:pPr>
        <w:pStyle w:val="3"/>
        <w:spacing w:before="156" w:after="156"/>
        <w:rPr>
          <w:rFonts w:ascii="Times New Roman" w:hAnsi="Times New Roman" w:cs="Times New Roman"/>
        </w:rPr>
      </w:pPr>
      <w:bookmarkStart w:id="78" w:name="_Toc226540448"/>
      <w:r>
        <w:rPr>
          <w:rFonts w:ascii="Times New Roman" w:hAnsi="Times New Roman" w:cs="Times New Roman"/>
        </w:rPr>
        <w:t>汽车</w:t>
      </w:r>
      <w:r>
        <w:rPr>
          <w:rFonts w:hint="eastAsia" w:ascii="Times New Roman" w:hAnsi="Times New Roman" w:cs="Times New Roman"/>
        </w:rPr>
        <w:t>维修行业</w:t>
      </w:r>
      <w:r>
        <w:rPr>
          <w:rFonts w:ascii="Times New Roman" w:hAnsi="Times New Roman" w:cs="Times New Roman"/>
        </w:rPr>
        <w:t>污染物排放现状</w:t>
      </w:r>
      <w:bookmarkEnd w:id="78"/>
    </w:p>
    <w:p>
      <w:pPr>
        <w:pStyle w:val="4"/>
        <w:spacing w:before="156" w:after="156"/>
      </w:pPr>
      <w:bookmarkStart w:id="79" w:name="_Toc226540449"/>
      <w:r>
        <w:rPr>
          <w:rFonts w:hint="eastAsia"/>
        </w:rPr>
        <w:t>重庆市汽车维修企业大气污染物排放量</w:t>
      </w:r>
      <w:bookmarkEnd w:id="79"/>
    </w:p>
    <w:p>
      <w:pPr>
        <w:pStyle w:val="5"/>
        <w:numPr>
          <w:ilvl w:val="0"/>
          <w:numId w:val="0"/>
        </w:numPr>
        <w:spacing w:before="156"/>
      </w:pPr>
      <w:bookmarkStart w:id="80" w:name="_Toc226540450"/>
      <w:r>
        <w:rPr>
          <w:rFonts w:hint="eastAsia" w:cs="Times New Roman"/>
          <w:szCs w:val="21"/>
        </w:rPr>
        <w:t>（1）</w:t>
      </w:r>
      <w:r>
        <w:rPr>
          <w:rFonts w:hint="eastAsia"/>
        </w:rPr>
        <w:t>文献参考值</w:t>
      </w:r>
      <w:bookmarkEnd w:id="80"/>
    </w:p>
    <w:p>
      <w:pPr>
        <w:spacing w:before="156"/>
        <w:ind w:firstLine="480"/>
      </w:pPr>
      <w:r>
        <w:t>根据王文秀等对天津市汽修行业VOCs排放清单与排放特征研究计算，每家汽修企业全年的VOC排放量为0.163吨/家，同样，周子航等对成都市武侯区生活源挥发性有机物排放清单研究表明，平均每家汽修企业全年的VOC排放量为0.106吨/家；陈煜辉等对广州市典型行业企业挥发性有机物排放调查显示，平均每家汽修企业全年的VOC排放量为0.134吨/家。上述3项研究成果的得到的排放因子差别都在同一数量级上，平均值为0.134吨/家。</w:t>
      </w:r>
    </w:p>
    <w:p>
      <w:pPr>
        <w:spacing w:before="156"/>
        <w:ind w:firstLine="0" w:firstLineChars="0"/>
        <w:jc w:val="center"/>
        <w:rPr>
          <w:b/>
          <w:sz w:val="21"/>
          <w:szCs w:val="21"/>
        </w:rPr>
      </w:pPr>
      <w:r>
        <w:rPr>
          <w:rFonts w:hint="eastAsia"/>
          <w:b/>
          <w:sz w:val="21"/>
          <w:szCs w:val="21"/>
        </w:rPr>
        <w:t xml:space="preserve">表6-1 </w:t>
      </w:r>
      <w:r>
        <w:rPr>
          <w:b/>
          <w:sz w:val="21"/>
          <w:szCs w:val="21"/>
        </w:rPr>
        <w:t>汽修行业VOC排放系数文献参考值</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032"/>
        <w:gridCol w:w="1119"/>
        <w:gridCol w:w="1114"/>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研究区域</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汽修企业数</w:t>
            </w:r>
          </w:p>
        </w:tc>
        <w:tc>
          <w:tcPr>
            <w:tcW w:w="11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总排放量（t）</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排放因子（t/家）</w:t>
            </w:r>
          </w:p>
        </w:tc>
        <w:tc>
          <w:tcPr>
            <w:tcW w:w="34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成都市武侯区</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78</w:t>
            </w:r>
          </w:p>
        </w:tc>
        <w:tc>
          <w:tcPr>
            <w:tcW w:w="11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8.30</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0.106</w:t>
            </w:r>
          </w:p>
        </w:tc>
        <w:tc>
          <w:tcPr>
            <w:tcW w:w="34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周子航, 邓也, 张碧, 等. 成都市武侯区生活源挥发性有机物排放清单研究[J]. 四川环境, 2017, 36(6): 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广州市</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1170</w:t>
            </w:r>
          </w:p>
        </w:tc>
        <w:tc>
          <w:tcPr>
            <w:tcW w:w="11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156. 78</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0.134</w:t>
            </w:r>
          </w:p>
        </w:tc>
        <w:tc>
          <w:tcPr>
            <w:tcW w:w="34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广州市典型行业企业挥发性有机物排放调查[J]. 广州化工，2013，4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1(12):39-46．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天津市</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5546</w:t>
            </w:r>
          </w:p>
        </w:tc>
        <w:tc>
          <w:tcPr>
            <w:tcW w:w="11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902.27</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0.163</w:t>
            </w:r>
          </w:p>
        </w:tc>
        <w:tc>
          <w:tcPr>
            <w:tcW w:w="34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王文秀, 王永敏, 郑幸成, 等. 天津市汽修行业 VOCs 排放清单与排放特征研究[J]. 广州化工, 2017, 45(22): 123-126.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0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平均值</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0.134</w:t>
            </w:r>
          </w:p>
        </w:tc>
        <w:tc>
          <w:tcPr>
            <w:tcW w:w="34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sz w:val="21"/>
                <w:szCs w:val="21"/>
              </w:rPr>
            </w:pPr>
            <w:r>
              <w:rPr>
                <w:sz w:val="21"/>
                <w:szCs w:val="21"/>
              </w:rPr>
              <w:t>/</w:t>
            </w:r>
          </w:p>
        </w:tc>
      </w:tr>
    </w:tbl>
    <w:p>
      <w:pPr>
        <w:pStyle w:val="5"/>
        <w:numPr>
          <w:ilvl w:val="0"/>
          <w:numId w:val="0"/>
        </w:numPr>
        <w:spacing w:before="156"/>
      </w:pPr>
      <w:bookmarkStart w:id="81" w:name="_Toc226540451"/>
      <w:r>
        <w:rPr>
          <w:rFonts w:hint="eastAsia" w:cs="Times New Roman"/>
          <w:szCs w:val="21"/>
        </w:rPr>
        <w:t>（2）</w:t>
      </w:r>
      <w:r>
        <w:rPr>
          <w:rFonts w:hint="eastAsia"/>
        </w:rPr>
        <w:t>烤</w:t>
      </w:r>
      <w:r>
        <w:t>灯</w:t>
      </w:r>
      <w:r>
        <w:rPr>
          <w:rFonts w:hint="eastAsia"/>
        </w:rPr>
        <w:t>汽修行业调研</w:t>
      </w:r>
      <w:bookmarkEnd w:id="81"/>
    </w:p>
    <w:p>
      <w:pPr>
        <w:spacing w:before="156"/>
        <w:ind w:firstLine="480"/>
      </w:pPr>
      <w:r>
        <w:t>根据各区县调研数据，渝中、江北和南岸等7区县总计99家企业的VOCs排放量为133.66吨，排放平均值为1.35吨/家，为表</w:t>
      </w:r>
      <w:r>
        <w:rPr>
          <w:rFonts w:hint="eastAsia"/>
        </w:rPr>
        <w:t>6-1</w:t>
      </w:r>
      <w:r>
        <w:t>中文献平均值的10倍。</w:t>
      </w:r>
    </w:p>
    <w:p>
      <w:pPr>
        <w:spacing w:before="156"/>
        <w:ind w:firstLine="0" w:firstLineChars="0"/>
        <w:jc w:val="center"/>
        <w:rPr>
          <w:b/>
          <w:sz w:val="21"/>
          <w:szCs w:val="21"/>
        </w:rPr>
      </w:pPr>
      <w:r>
        <w:rPr>
          <w:rFonts w:hint="eastAsia"/>
          <w:b/>
          <w:sz w:val="21"/>
          <w:szCs w:val="21"/>
        </w:rPr>
        <w:t xml:space="preserve">表6-2 </w:t>
      </w:r>
      <w:r>
        <w:rPr>
          <w:b/>
          <w:sz w:val="21"/>
          <w:szCs w:val="21"/>
        </w:rPr>
        <w:t>调研区县汽修行业VOCs排放信息</w:t>
      </w:r>
    </w:p>
    <w:tbl>
      <w:tblPr>
        <w:tblStyle w:val="3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86"/>
        <w:gridCol w:w="1180"/>
        <w:gridCol w:w="1180"/>
        <w:gridCol w:w="1133"/>
        <w:gridCol w:w="1172"/>
        <w:gridCol w:w="1056"/>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blHeader/>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区县</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企业数量</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VOCs产生量</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（吨）</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VOCs排放量</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（吨）</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单企业排放</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（吨/家）</w:t>
            </w:r>
          </w:p>
        </w:tc>
        <w:tc>
          <w:tcPr>
            <w:tcW w:w="117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收集方式</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治理工艺</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渝中区</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17</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9.4</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6.98</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0.41 </w:t>
            </w:r>
          </w:p>
        </w:tc>
        <w:tc>
          <w:tcPr>
            <w:tcW w:w="117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治理17家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江北区</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4.19</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2.92</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0.73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治理</w:t>
            </w:r>
            <w:r>
              <w:rPr>
                <w:sz w:val="21"/>
                <w:szCs w:val="21"/>
              </w:rPr>
              <w:t>4</w:t>
            </w:r>
            <w:r>
              <w:rPr>
                <w:rFonts w:hint="eastAsia"/>
                <w:sz w:val="21"/>
                <w:szCs w:val="21"/>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南岸区</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2.53</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2.18</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2.18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巴南区</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56</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116.8</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81.76</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1.46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治理56家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丰都县</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0.32</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0.24</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0.12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治理2家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云阳县</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1.81</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1.81</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0.36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治理5家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巴南区</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14</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37.77</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37.77</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2.70 </w:t>
            </w:r>
          </w:p>
        </w:tc>
        <w:tc>
          <w:tcPr>
            <w:tcW w:w="1172" w:type="dxa"/>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喷烤房密闭</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活性炭</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关闭</w:t>
            </w:r>
            <w:r>
              <w:rPr>
                <w:sz w:val="21"/>
                <w:szCs w:val="21"/>
              </w:rPr>
              <w:t>14</w:t>
            </w:r>
            <w:r>
              <w:rPr>
                <w:rFonts w:hint="eastAsia"/>
                <w:sz w:val="21"/>
                <w:szCs w:val="21"/>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合计</w:t>
            </w:r>
          </w:p>
        </w:tc>
        <w:tc>
          <w:tcPr>
            <w:tcW w:w="88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99</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172.82</w:t>
            </w:r>
          </w:p>
        </w:tc>
        <w:tc>
          <w:tcPr>
            <w:tcW w:w="118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133.66</w:t>
            </w:r>
          </w:p>
        </w:tc>
        <w:tc>
          <w:tcPr>
            <w:tcW w:w="11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1.35</w:t>
            </w:r>
          </w:p>
        </w:tc>
        <w:tc>
          <w:tcPr>
            <w:tcW w:w="117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w:t>
            </w:r>
          </w:p>
        </w:tc>
        <w:tc>
          <w:tcPr>
            <w:tcW w:w="105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w:t>
            </w:r>
          </w:p>
        </w:tc>
        <w:tc>
          <w:tcPr>
            <w:tcW w:w="97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w:t>
            </w:r>
          </w:p>
        </w:tc>
      </w:tr>
    </w:tbl>
    <w:p>
      <w:pPr>
        <w:pStyle w:val="5"/>
        <w:numPr>
          <w:ilvl w:val="0"/>
          <w:numId w:val="0"/>
        </w:numPr>
        <w:spacing w:before="156"/>
      </w:pPr>
      <w:bookmarkStart w:id="82" w:name="_Toc226540452"/>
      <w:r>
        <w:rPr>
          <w:rFonts w:hint="eastAsia" w:cs="Times New Roman"/>
          <w:szCs w:val="21"/>
        </w:rPr>
        <w:t>（3）</w:t>
      </w:r>
      <w:r>
        <w:t>永川</w:t>
      </w:r>
      <w:r>
        <w:rPr>
          <w:rFonts w:hint="eastAsia"/>
        </w:rPr>
        <w:t>区众达城喷涂中心调研</w:t>
      </w:r>
      <w:bookmarkEnd w:id="82"/>
    </w:p>
    <w:p>
      <w:pPr>
        <w:spacing w:before="156"/>
        <w:ind w:firstLine="480"/>
      </w:pPr>
      <w:r>
        <w:rPr>
          <w:rFonts w:hint="eastAsia"/>
        </w:rPr>
        <w:t>重庆市永川区祥维汽车维修有限公司（下称“众达城喷涂中心”）位于重庆市永川区众达城国际汽车广场内。该广场总占地面积四百多亩，由汽车 4S 店、汽车城市展厅、二手车交易市场、大型车市场、汽车后市场五大核心业态组成，配置了车管所、工商行政、银行保险、检测评估、驾驶培训、驾驶考试的车管行政服务机构，是渝西区域规模最大的汽车交易市场。目前，众达城一期已建成，永川车管所陆续进场，4S 店与城市展厅区域已入驻捷途、捷达、名爵、奇瑞、东风日产、一汽马自达、北京现代、红旗、宝骏、五菱、长城、荣威，长安等畅销汽车品牌。不同品牌的汽车 4S 店在进行汽车的维修喷漆工作，这些喷漆废气的净化方式也比较低效，因此存在着一定的环保风险，同时这种现实情况也增加了上级管理部门管理难度。因此，众达城喷涂中心针对 4S 店喷漆房的工作特点以及乙酸乙酯、乙酸丁酯、丙二醇甲醚醋酸酯和芳香烃类等特征V</w:t>
      </w:r>
      <w:r>
        <w:t>OCs</w:t>
      </w:r>
      <w:r>
        <w:rPr>
          <w:rFonts w:hint="eastAsia"/>
        </w:rPr>
        <w:t>组分，建设喷涂中心对喷漆废气进行治理。</w:t>
      </w:r>
    </w:p>
    <w:p>
      <w:pPr>
        <w:spacing w:before="156"/>
        <w:ind w:firstLine="480"/>
      </w:pPr>
      <w:r>
        <w:rPr>
          <w:rFonts w:hint="eastAsia"/>
        </w:rPr>
        <w:t>该中心</w:t>
      </w:r>
      <w:r>
        <w:t>共计有12个喷烤房，年最大设计产能108000辆（</w:t>
      </w:r>
      <w:r>
        <w:rPr>
          <w:rFonts w:hint="eastAsia"/>
        </w:rPr>
        <w:t>以喷涂作业</w:t>
      </w:r>
      <w:r>
        <w:t>面</w:t>
      </w:r>
      <w:r>
        <w:rPr>
          <w:rFonts w:hint="eastAsia"/>
        </w:rPr>
        <w:t>计</w:t>
      </w:r>
      <w:r>
        <w:t>），单面涂料用量1.065kg（油漆、稀释剂和固化剂混合），VOCs年产生量57.51吨。根据汽修协计算，永川区需建3个同等规模的钣喷中心，方能满足全区汽修喷涂需求。因此，永川区汽修行业VOCs产生量为172.53吨，按382家汽修企业折算，单家企业VOCs产生量为0.45kg/家。按汽修行业主流治理技术活性炭吸附或UV光解+活性炭吸附对VOCs的去除效率30%计算，永川区单家企业VOCs排放量为0.32kg/家。</w:t>
      </w:r>
    </w:p>
    <w:p>
      <w:pPr>
        <w:spacing w:before="156" w:line="240" w:lineRule="auto"/>
        <w:ind w:firstLine="0" w:firstLineChars="0"/>
        <w:rPr>
          <w:rFonts w:cs="Times New Roman"/>
        </w:rPr>
      </w:pPr>
      <w:r>
        <w:rPr>
          <w:rFonts w:cs="Times New Roman"/>
        </w:rPr>
        <w:drawing>
          <wp:inline distT="0" distB="0" distL="0" distR="0">
            <wp:extent cx="2533650" cy="1898650"/>
            <wp:effectExtent l="19050" t="19050" r="19050" b="254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stretch>
                      <a:fillRect/>
                    </a:stretch>
                  </pic:blipFill>
                  <pic:spPr>
                    <a:xfrm>
                      <a:off x="0" y="0"/>
                      <a:ext cx="2543240" cy="1905746"/>
                    </a:xfrm>
                    <a:prstGeom prst="rect">
                      <a:avLst/>
                    </a:prstGeom>
                    <a:ln>
                      <a:solidFill>
                        <a:sysClr val="windowText" lastClr="000000"/>
                      </a:solidFill>
                    </a:ln>
                  </pic:spPr>
                </pic:pic>
              </a:graphicData>
            </a:graphic>
          </wp:inline>
        </w:drawing>
      </w:r>
      <w:r>
        <w:rPr>
          <w:rFonts w:cs="Times New Roman"/>
        </w:rPr>
        <w:drawing>
          <wp:inline distT="0" distB="0" distL="0" distR="0">
            <wp:extent cx="2533650" cy="1900555"/>
            <wp:effectExtent l="19050" t="19050" r="19050" b="2349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cstate="print"/>
                    <a:stretch>
                      <a:fillRect/>
                    </a:stretch>
                  </pic:blipFill>
                  <pic:spPr>
                    <a:xfrm>
                      <a:off x="0" y="0"/>
                      <a:ext cx="2538627" cy="1904429"/>
                    </a:xfrm>
                    <a:prstGeom prst="rect">
                      <a:avLst/>
                    </a:prstGeom>
                    <a:ln>
                      <a:solidFill>
                        <a:sysClr val="windowText" lastClr="000000"/>
                      </a:solidFill>
                    </a:ln>
                  </pic:spPr>
                </pic:pic>
              </a:graphicData>
            </a:graphic>
          </wp:inline>
        </w:drawing>
      </w:r>
    </w:p>
    <w:p>
      <w:pPr>
        <w:spacing w:before="156" w:line="240" w:lineRule="auto"/>
        <w:ind w:firstLine="0" w:firstLineChars="0"/>
        <w:jc w:val="center"/>
        <w:rPr>
          <w:rFonts w:cs="Times New Roman"/>
          <w:sz w:val="21"/>
        </w:rPr>
      </w:pPr>
      <w:r>
        <w:rPr>
          <w:rFonts w:hint="eastAsia" w:cs="Times New Roman"/>
          <w:sz w:val="21"/>
        </w:rPr>
        <w:t xml:space="preserve">（1）喷烤漆房 </w:t>
      </w:r>
      <w:r>
        <w:rPr>
          <w:rFonts w:cs="Times New Roman"/>
          <w:sz w:val="21"/>
        </w:rPr>
        <w:t xml:space="preserve">                   </w:t>
      </w:r>
      <w:r>
        <w:rPr>
          <w:rFonts w:hint="eastAsia" w:cs="Times New Roman"/>
          <w:sz w:val="21"/>
        </w:rPr>
        <w:t>（2）V</w:t>
      </w:r>
      <w:r>
        <w:rPr>
          <w:rFonts w:cs="Times New Roman"/>
          <w:sz w:val="21"/>
        </w:rPr>
        <w:t>OC</w:t>
      </w:r>
      <w:r>
        <w:rPr>
          <w:rFonts w:hint="eastAsia" w:cs="Times New Roman"/>
          <w:sz w:val="21"/>
        </w:rPr>
        <w:t>s治理设施</w:t>
      </w:r>
    </w:p>
    <w:p>
      <w:pPr>
        <w:spacing w:before="156"/>
        <w:ind w:firstLine="0" w:firstLineChars="0"/>
        <w:jc w:val="center"/>
        <w:rPr>
          <w:b/>
          <w:sz w:val="21"/>
          <w:szCs w:val="21"/>
        </w:rPr>
      </w:pPr>
      <w:r>
        <w:rPr>
          <w:rFonts w:hint="eastAsia"/>
          <w:b/>
          <w:sz w:val="21"/>
          <w:szCs w:val="21"/>
        </w:rPr>
        <w:t>图6.4 众达城喷涂中心现场图片</w:t>
      </w:r>
    </w:p>
    <w:p>
      <w:pPr>
        <w:pStyle w:val="5"/>
        <w:numPr>
          <w:ilvl w:val="0"/>
          <w:numId w:val="0"/>
        </w:numPr>
        <w:spacing w:before="156"/>
      </w:pPr>
      <w:bookmarkStart w:id="83" w:name="_Toc226540453"/>
      <w:r>
        <w:rPr>
          <w:rFonts w:hint="eastAsia" w:cs="Times New Roman"/>
          <w:szCs w:val="21"/>
        </w:rPr>
        <w:t>（4）</w:t>
      </w:r>
      <w:r>
        <w:rPr>
          <w:rFonts w:hint="eastAsia"/>
        </w:rPr>
        <w:t>排放系数核定</w:t>
      </w:r>
      <w:bookmarkEnd w:id="83"/>
    </w:p>
    <w:p>
      <w:pPr>
        <w:spacing w:before="156"/>
        <w:ind w:firstLine="480"/>
      </w:pPr>
      <w:r>
        <w:t>基于（1）-（4）得到表</w:t>
      </w:r>
      <w:r>
        <w:rPr>
          <w:rFonts w:hint="eastAsia"/>
        </w:rPr>
        <w:t>6</w:t>
      </w:r>
      <w:r>
        <w:t>-3</w:t>
      </w:r>
    </w:p>
    <w:p>
      <w:pPr>
        <w:spacing w:before="156"/>
        <w:ind w:firstLine="0" w:firstLineChars="0"/>
        <w:jc w:val="center"/>
        <w:rPr>
          <w:b/>
          <w:sz w:val="21"/>
          <w:szCs w:val="21"/>
        </w:rPr>
      </w:pPr>
      <w:r>
        <w:rPr>
          <w:rFonts w:hint="eastAsia"/>
          <w:b/>
          <w:sz w:val="21"/>
          <w:szCs w:val="21"/>
        </w:rPr>
        <w:t xml:space="preserve">表6-3 </w:t>
      </w:r>
      <w:r>
        <w:rPr>
          <w:b/>
          <w:sz w:val="21"/>
          <w:szCs w:val="21"/>
        </w:rPr>
        <w:t>汽修行业VOCs排放因子汇总表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158"/>
        <w:gridCol w:w="1539"/>
        <w:gridCol w:w="1853"/>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806" w:type="dxa"/>
            <w:vAlign w:val="center"/>
          </w:tcPr>
          <w:p>
            <w:pPr>
              <w:spacing w:before="156"/>
              <w:ind w:firstLine="0" w:firstLineChars="0"/>
              <w:jc w:val="center"/>
            </w:pPr>
            <w:r>
              <w:t>序号</w:t>
            </w:r>
          </w:p>
        </w:tc>
        <w:tc>
          <w:tcPr>
            <w:tcW w:w="2158" w:type="dxa"/>
            <w:shd w:val="clear" w:color="auto" w:fill="auto"/>
            <w:vAlign w:val="center"/>
          </w:tcPr>
          <w:p>
            <w:pPr>
              <w:spacing w:before="156"/>
              <w:ind w:firstLine="0" w:firstLineChars="0"/>
              <w:jc w:val="center"/>
            </w:pPr>
            <w:r>
              <w:t>案例</w:t>
            </w:r>
          </w:p>
        </w:tc>
        <w:tc>
          <w:tcPr>
            <w:tcW w:w="1539" w:type="dxa"/>
            <w:shd w:val="clear" w:color="auto" w:fill="auto"/>
            <w:vAlign w:val="center"/>
          </w:tcPr>
          <w:p>
            <w:pPr>
              <w:spacing w:before="156"/>
              <w:ind w:firstLine="0" w:firstLineChars="0"/>
              <w:jc w:val="center"/>
            </w:pPr>
            <w:r>
              <w:t>汽修企业数</w:t>
            </w:r>
          </w:p>
        </w:tc>
        <w:tc>
          <w:tcPr>
            <w:tcW w:w="1853" w:type="dxa"/>
            <w:shd w:val="clear" w:color="auto" w:fill="auto"/>
            <w:vAlign w:val="center"/>
          </w:tcPr>
          <w:p>
            <w:pPr>
              <w:spacing w:before="156"/>
              <w:ind w:firstLine="0" w:firstLineChars="0"/>
              <w:jc w:val="center"/>
            </w:pPr>
            <w:r>
              <w:t>总排放量（t）</w:t>
            </w:r>
          </w:p>
        </w:tc>
        <w:tc>
          <w:tcPr>
            <w:tcW w:w="2166" w:type="dxa"/>
            <w:shd w:val="clear" w:color="auto" w:fill="auto"/>
            <w:vAlign w:val="center"/>
          </w:tcPr>
          <w:p>
            <w:pPr>
              <w:spacing w:before="156"/>
              <w:ind w:firstLine="0" w:firstLineChars="0"/>
              <w:jc w:val="center"/>
            </w:pPr>
            <w:r>
              <w:t>排放因子（t/家）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1</w:t>
            </w:r>
          </w:p>
        </w:tc>
        <w:tc>
          <w:tcPr>
            <w:tcW w:w="2158" w:type="dxa"/>
            <w:shd w:val="clear" w:color="auto" w:fill="auto"/>
            <w:vAlign w:val="center"/>
          </w:tcPr>
          <w:p>
            <w:pPr>
              <w:spacing w:before="156"/>
              <w:ind w:firstLine="0" w:firstLineChars="0"/>
              <w:jc w:val="center"/>
            </w:pPr>
            <w:r>
              <w:t>成都市武侯区</w:t>
            </w:r>
          </w:p>
        </w:tc>
        <w:tc>
          <w:tcPr>
            <w:tcW w:w="1539" w:type="dxa"/>
            <w:shd w:val="clear" w:color="auto" w:fill="auto"/>
            <w:vAlign w:val="center"/>
          </w:tcPr>
          <w:p>
            <w:pPr>
              <w:spacing w:before="156"/>
              <w:ind w:firstLine="0" w:firstLineChars="0"/>
              <w:jc w:val="center"/>
            </w:pPr>
            <w:r>
              <w:t>78</w:t>
            </w:r>
          </w:p>
        </w:tc>
        <w:tc>
          <w:tcPr>
            <w:tcW w:w="1853" w:type="dxa"/>
            <w:shd w:val="clear" w:color="auto" w:fill="auto"/>
            <w:vAlign w:val="center"/>
          </w:tcPr>
          <w:p>
            <w:pPr>
              <w:spacing w:before="156"/>
              <w:ind w:firstLine="0" w:firstLineChars="0"/>
              <w:jc w:val="center"/>
            </w:pPr>
            <w:r>
              <w:t>8.3</w:t>
            </w:r>
          </w:p>
        </w:tc>
        <w:tc>
          <w:tcPr>
            <w:tcW w:w="2166" w:type="dxa"/>
            <w:shd w:val="clear" w:color="auto" w:fill="auto"/>
            <w:vAlign w:val="center"/>
          </w:tcPr>
          <w:p>
            <w:pPr>
              <w:spacing w:before="156"/>
              <w:ind w:firstLine="0" w:firstLineChars="0"/>
              <w:jc w:val="center"/>
            </w:pPr>
            <w: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2</w:t>
            </w:r>
          </w:p>
        </w:tc>
        <w:tc>
          <w:tcPr>
            <w:tcW w:w="2158" w:type="dxa"/>
            <w:shd w:val="clear" w:color="auto" w:fill="auto"/>
            <w:vAlign w:val="center"/>
          </w:tcPr>
          <w:p>
            <w:pPr>
              <w:spacing w:before="156"/>
              <w:ind w:firstLine="0" w:firstLineChars="0"/>
              <w:jc w:val="center"/>
            </w:pPr>
            <w:r>
              <w:t>广州市</w:t>
            </w:r>
          </w:p>
        </w:tc>
        <w:tc>
          <w:tcPr>
            <w:tcW w:w="1539" w:type="dxa"/>
            <w:shd w:val="clear" w:color="auto" w:fill="auto"/>
            <w:vAlign w:val="center"/>
          </w:tcPr>
          <w:p>
            <w:pPr>
              <w:spacing w:before="156"/>
              <w:ind w:firstLine="0" w:firstLineChars="0"/>
              <w:jc w:val="center"/>
            </w:pPr>
            <w:r>
              <w:t>1170</w:t>
            </w:r>
          </w:p>
        </w:tc>
        <w:tc>
          <w:tcPr>
            <w:tcW w:w="1853" w:type="dxa"/>
            <w:shd w:val="clear" w:color="auto" w:fill="auto"/>
            <w:vAlign w:val="center"/>
          </w:tcPr>
          <w:p>
            <w:pPr>
              <w:spacing w:before="156"/>
              <w:ind w:firstLine="0" w:firstLineChars="0"/>
              <w:jc w:val="center"/>
            </w:pPr>
            <w:r>
              <w:t>156. 78</w:t>
            </w:r>
          </w:p>
        </w:tc>
        <w:tc>
          <w:tcPr>
            <w:tcW w:w="2166" w:type="dxa"/>
            <w:shd w:val="clear" w:color="auto" w:fill="auto"/>
            <w:vAlign w:val="center"/>
          </w:tcPr>
          <w:p>
            <w:pPr>
              <w:spacing w:before="156"/>
              <w:ind w:firstLine="0" w:firstLineChars="0"/>
              <w:jc w:val="center"/>
            </w:pPr>
            <w: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3</w:t>
            </w:r>
          </w:p>
        </w:tc>
        <w:tc>
          <w:tcPr>
            <w:tcW w:w="2158" w:type="dxa"/>
            <w:shd w:val="clear" w:color="auto" w:fill="auto"/>
            <w:vAlign w:val="center"/>
          </w:tcPr>
          <w:p>
            <w:pPr>
              <w:spacing w:before="156"/>
              <w:ind w:firstLine="0" w:firstLineChars="0"/>
              <w:jc w:val="center"/>
            </w:pPr>
            <w:r>
              <w:t>天津市</w:t>
            </w:r>
          </w:p>
        </w:tc>
        <w:tc>
          <w:tcPr>
            <w:tcW w:w="1539" w:type="dxa"/>
            <w:shd w:val="clear" w:color="auto" w:fill="auto"/>
            <w:vAlign w:val="center"/>
          </w:tcPr>
          <w:p>
            <w:pPr>
              <w:spacing w:before="156"/>
              <w:ind w:firstLine="0" w:firstLineChars="0"/>
              <w:jc w:val="center"/>
            </w:pPr>
            <w:r>
              <w:t>5546</w:t>
            </w:r>
          </w:p>
        </w:tc>
        <w:tc>
          <w:tcPr>
            <w:tcW w:w="1853" w:type="dxa"/>
            <w:shd w:val="clear" w:color="auto" w:fill="auto"/>
            <w:vAlign w:val="center"/>
          </w:tcPr>
          <w:p>
            <w:pPr>
              <w:spacing w:before="156"/>
              <w:ind w:firstLine="0" w:firstLineChars="0"/>
              <w:jc w:val="center"/>
            </w:pPr>
            <w:r>
              <w:t>902.27</w:t>
            </w:r>
          </w:p>
        </w:tc>
        <w:tc>
          <w:tcPr>
            <w:tcW w:w="2166" w:type="dxa"/>
            <w:shd w:val="clear" w:color="auto" w:fill="auto"/>
            <w:vAlign w:val="center"/>
          </w:tcPr>
          <w:p>
            <w:pPr>
              <w:spacing w:before="156"/>
              <w:ind w:firstLine="0" w:firstLineChars="0"/>
              <w:jc w:val="center"/>
            </w:pPr>
            <w: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4</w:t>
            </w:r>
          </w:p>
        </w:tc>
        <w:tc>
          <w:tcPr>
            <w:tcW w:w="2158" w:type="dxa"/>
            <w:shd w:val="clear" w:color="auto" w:fill="auto"/>
            <w:vAlign w:val="center"/>
          </w:tcPr>
          <w:p>
            <w:pPr>
              <w:spacing w:before="156"/>
              <w:ind w:firstLine="0" w:firstLineChars="0"/>
              <w:jc w:val="center"/>
            </w:pPr>
            <w:r>
              <w:t>渝中区</w:t>
            </w:r>
          </w:p>
        </w:tc>
        <w:tc>
          <w:tcPr>
            <w:tcW w:w="1539" w:type="dxa"/>
            <w:shd w:val="clear" w:color="auto" w:fill="auto"/>
            <w:vAlign w:val="center"/>
          </w:tcPr>
          <w:p>
            <w:pPr>
              <w:spacing w:before="156"/>
              <w:ind w:firstLine="0" w:firstLineChars="0"/>
              <w:jc w:val="center"/>
            </w:pPr>
            <w:r>
              <w:t>17</w:t>
            </w:r>
          </w:p>
        </w:tc>
        <w:tc>
          <w:tcPr>
            <w:tcW w:w="1853" w:type="dxa"/>
            <w:shd w:val="clear" w:color="auto" w:fill="auto"/>
            <w:vAlign w:val="center"/>
          </w:tcPr>
          <w:p>
            <w:pPr>
              <w:spacing w:before="156"/>
              <w:ind w:firstLine="0" w:firstLineChars="0"/>
              <w:jc w:val="center"/>
            </w:pPr>
            <w:r>
              <w:t>6.98</w:t>
            </w:r>
          </w:p>
        </w:tc>
        <w:tc>
          <w:tcPr>
            <w:tcW w:w="2166" w:type="dxa"/>
            <w:shd w:val="clear" w:color="auto" w:fill="auto"/>
            <w:vAlign w:val="center"/>
          </w:tcPr>
          <w:p>
            <w:pPr>
              <w:spacing w:before="156"/>
              <w:ind w:firstLine="0" w:firstLineChars="0"/>
              <w:jc w:val="center"/>
            </w:pPr>
            <w:r>
              <w:t xml:space="preserve">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5</w:t>
            </w:r>
          </w:p>
        </w:tc>
        <w:tc>
          <w:tcPr>
            <w:tcW w:w="2158" w:type="dxa"/>
            <w:shd w:val="clear" w:color="auto" w:fill="auto"/>
            <w:vAlign w:val="center"/>
          </w:tcPr>
          <w:p>
            <w:pPr>
              <w:spacing w:before="156"/>
              <w:ind w:firstLine="0" w:firstLineChars="0"/>
              <w:jc w:val="center"/>
            </w:pPr>
            <w:r>
              <w:t>江北区</w:t>
            </w:r>
          </w:p>
        </w:tc>
        <w:tc>
          <w:tcPr>
            <w:tcW w:w="1539" w:type="dxa"/>
            <w:shd w:val="clear" w:color="auto" w:fill="auto"/>
            <w:vAlign w:val="center"/>
          </w:tcPr>
          <w:p>
            <w:pPr>
              <w:spacing w:before="156"/>
              <w:ind w:firstLine="0" w:firstLineChars="0"/>
              <w:jc w:val="center"/>
            </w:pPr>
            <w:r>
              <w:t>4</w:t>
            </w:r>
          </w:p>
        </w:tc>
        <w:tc>
          <w:tcPr>
            <w:tcW w:w="1853" w:type="dxa"/>
            <w:shd w:val="clear" w:color="auto" w:fill="auto"/>
            <w:vAlign w:val="center"/>
          </w:tcPr>
          <w:p>
            <w:pPr>
              <w:spacing w:before="156"/>
              <w:ind w:firstLine="0" w:firstLineChars="0"/>
              <w:jc w:val="center"/>
            </w:pPr>
            <w:r>
              <w:t>2.92</w:t>
            </w:r>
          </w:p>
        </w:tc>
        <w:tc>
          <w:tcPr>
            <w:tcW w:w="2166" w:type="dxa"/>
            <w:shd w:val="clear" w:color="auto" w:fill="auto"/>
            <w:vAlign w:val="center"/>
          </w:tcPr>
          <w:p>
            <w:pPr>
              <w:spacing w:before="156"/>
              <w:ind w:firstLine="0" w:firstLineChars="0"/>
              <w:jc w:val="center"/>
            </w:pPr>
            <w:r>
              <w:t xml:space="preserve">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6</w:t>
            </w:r>
          </w:p>
        </w:tc>
        <w:tc>
          <w:tcPr>
            <w:tcW w:w="2158" w:type="dxa"/>
            <w:shd w:val="clear" w:color="auto" w:fill="auto"/>
            <w:vAlign w:val="center"/>
          </w:tcPr>
          <w:p>
            <w:pPr>
              <w:spacing w:before="156"/>
              <w:ind w:firstLine="0" w:firstLineChars="0"/>
              <w:jc w:val="center"/>
            </w:pPr>
            <w:r>
              <w:t>南岸区</w:t>
            </w:r>
          </w:p>
        </w:tc>
        <w:tc>
          <w:tcPr>
            <w:tcW w:w="1539" w:type="dxa"/>
            <w:shd w:val="clear" w:color="auto" w:fill="auto"/>
            <w:vAlign w:val="center"/>
          </w:tcPr>
          <w:p>
            <w:pPr>
              <w:spacing w:before="156"/>
              <w:ind w:firstLine="0" w:firstLineChars="0"/>
              <w:jc w:val="center"/>
            </w:pPr>
            <w:r>
              <w:t>1</w:t>
            </w:r>
          </w:p>
        </w:tc>
        <w:tc>
          <w:tcPr>
            <w:tcW w:w="1853" w:type="dxa"/>
            <w:shd w:val="clear" w:color="auto" w:fill="auto"/>
            <w:vAlign w:val="center"/>
          </w:tcPr>
          <w:p>
            <w:pPr>
              <w:spacing w:before="156"/>
              <w:ind w:firstLine="0" w:firstLineChars="0"/>
              <w:jc w:val="center"/>
            </w:pPr>
            <w:r>
              <w:t>2.18</w:t>
            </w:r>
          </w:p>
        </w:tc>
        <w:tc>
          <w:tcPr>
            <w:tcW w:w="2166" w:type="dxa"/>
            <w:shd w:val="clear" w:color="auto" w:fill="auto"/>
            <w:vAlign w:val="center"/>
          </w:tcPr>
          <w:p>
            <w:pPr>
              <w:spacing w:before="156"/>
              <w:ind w:firstLine="0" w:firstLineChars="0"/>
              <w:jc w:val="center"/>
            </w:pPr>
            <w:r>
              <w:t xml:space="preserve">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7</w:t>
            </w:r>
          </w:p>
        </w:tc>
        <w:tc>
          <w:tcPr>
            <w:tcW w:w="2158" w:type="dxa"/>
            <w:shd w:val="clear" w:color="auto" w:fill="auto"/>
            <w:vAlign w:val="center"/>
          </w:tcPr>
          <w:p>
            <w:pPr>
              <w:spacing w:before="156"/>
              <w:ind w:firstLine="0" w:firstLineChars="0"/>
              <w:jc w:val="center"/>
            </w:pPr>
            <w:r>
              <w:t>巴南区</w:t>
            </w:r>
          </w:p>
        </w:tc>
        <w:tc>
          <w:tcPr>
            <w:tcW w:w="1539" w:type="dxa"/>
            <w:shd w:val="clear" w:color="auto" w:fill="auto"/>
            <w:vAlign w:val="center"/>
          </w:tcPr>
          <w:p>
            <w:pPr>
              <w:spacing w:before="156"/>
              <w:ind w:firstLine="0" w:firstLineChars="0"/>
              <w:jc w:val="center"/>
            </w:pPr>
            <w:r>
              <w:t>70</w:t>
            </w:r>
          </w:p>
        </w:tc>
        <w:tc>
          <w:tcPr>
            <w:tcW w:w="1853" w:type="dxa"/>
            <w:shd w:val="clear" w:color="auto" w:fill="auto"/>
            <w:vAlign w:val="center"/>
          </w:tcPr>
          <w:p>
            <w:pPr>
              <w:spacing w:before="156"/>
              <w:ind w:firstLine="0" w:firstLineChars="0"/>
              <w:jc w:val="center"/>
            </w:pPr>
            <w:r>
              <w:t>119.53</w:t>
            </w:r>
          </w:p>
        </w:tc>
        <w:tc>
          <w:tcPr>
            <w:tcW w:w="2166" w:type="dxa"/>
            <w:shd w:val="clear" w:color="auto" w:fill="auto"/>
            <w:vAlign w:val="center"/>
          </w:tcPr>
          <w:p>
            <w:pPr>
              <w:spacing w:before="156"/>
              <w:ind w:firstLine="0" w:firstLineChars="0"/>
              <w:jc w:val="center"/>
            </w:pPr>
            <w:r>
              <w:t xml:space="preserve">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8</w:t>
            </w:r>
          </w:p>
        </w:tc>
        <w:tc>
          <w:tcPr>
            <w:tcW w:w="2158" w:type="dxa"/>
            <w:shd w:val="clear" w:color="auto" w:fill="auto"/>
            <w:vAlign w:val="center"/>
          </w:tcPr>
          <w:p>
            <w:pPr>
              <w:spacing w:before="156"/>
              <w:ind w:firstLine="0" w:firstLineChars="0"/>
              <w:jc w:val="center"/>
            </w:pPr>
            <w:r>
              <w:t>丰都县</w:t>
            </w:r>
          </w:p>
        </w:tc>
        <w:tc>
          <w:tcPr>
            <w:tcW w:w="1539" w:type="dxa"/>
            <w:shd w:val="clear" w:color="auto" w:fill="auto"/>
            <w:vAlign w:val="center"/>
          </w:tcPr>
          <w:p>
            <w:pPr>
              <w:spacing w:before="156"/>
              <w:ind w:firstLine="0" w:firstLineChars="0"/>
              <w:jc w:val="center"/>
            </w:pPr>
            <w:r>
              <w:t>2</w:t>
            </w:r>
          </w:p>
        </w:tc>
        <w:tc>
          <w:tcPr>
            <w:tcW w:w="1853" w:type="dxa"/>
            <w:shd w:val="clear" w:color="auto" w:fill="auto"/>
            <w:vAlign w:val="center"/>
          </w:tcPr>
          <w:p>
            <w:pPr>
              <w:spacing w:before="156"/>
              <w:ind w:firstLine="0" w:firstLineChars="0"/>
              <w:jc w:val="center"/>
            </w:pPr>
            <w:r>
              <w:t>0.24</w:t>
            </w:r>
          </w:p>
        </w:tc>
        <w:tc>
          <w:tcPr>
            <w:tcW w:w="2166" w:type="dxa"/>
            <w:shd w:val="clear" w:color="auto" w:fill="auto"/>
            <w:vAlign w:val="center"/>
          </w:tcPr>
          <w:p>
            <w:pPr>
              <w:spacing w:before="156"/>
              <w:ind w:firstLine="0" w:firstLineChars="0"/>
              <w:jc w:val="center"/>
            </w:pPr>
            <w:r>
              <w:t xml:space="preserve">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9</w:t>
            </w:r>
          </w:p>
        </w:tc>
        <w:tc>
          <w:tcPr>
            <w:tcW w:w="2158" w:type="dxa"/>
            <w:shd w:val="clear" w:color="auto" w:fill="auto"/>
            <w:vAlign w:val="center"/>
          </w:tcPr>
          <w:p>
            <w:pPr>
              <w:spacing w:before="156"/>
              <w:ind w:firstLine="0" w:firstLineChars="0"/>
              <w:jc w:val="center"/>
            </w:pPr>
            <w:r>
              <w:t>云阳县</w:t>
            </w:r>
          </w:p>
        </w:tc>
        <w:tc>
          <w:tcPr>
            <w:tcW w:w="1539" w:type="dxa"/>
            <w:shd w:val="clear" w:color="auto" w:fill="auto"/>
            <w:vAlign w:val="center"/>
          </w:tcPr>
          <w:p>
            <w:pPr>
              <w:spacing w:before="156"/>
              <w:ind w:firstLine="0" w:firstLineChars="0"/>
              <w:jc w:val="center"/>
            </w:pPr>
            <w:r>
              <w:t>5</w:t>
            </w:r>
          </w:p>
        </w:tc>
        <w:tc>
          <w:tcPr>
            <w:tcW w:w="1853" w:type="dxa"/>
            <w:shd w:val="clear" w:color="auto" w:fill="auto"/>
            <w:vAlign w:val="center"/>
          </w:tcPr>
          <w:p>
            <w:pPr>
              <w:spacing w:before="156"/>
              <w:ind w:firstLine="0" w:firstLineChars="0"/>
              <w:jc w:val="center"/>
            </w:pPr>
            <w:r>
              <w:t>1.81</w:t>
            </w:r>
          </w:p>
        </w:tc>
        <w:tc>
          <w:tcPr>
            <w:tcW w:w="2166" w:type="dxa"/>
            <w:shd w:val="clear" w:color="auto" w:fill="auto"/>
            <w:vAlign w:val="center"/>
          </w:tcPr>
          <w:p>
            <w:pPr>
              <w:spacing w:before="156"/>
              <w:ind w:firstLine="0" w:firstLineChars="0"/>
              <w:jc w:val="center"/>
            </w:pPr>
            <w: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06" w:type="dxa"/>
            <w:vAlign w:val="center"/>
          </w:tcPr>
          <w:p>
            <w:pPr>
              <w:spacing w:before="156"/>
              <w:ind w:firstLine="0" w:firstLineChars="0"/>
              <w:jc w:val="center"/>
            </w:pPr>
            <w:r>
              <w:t>10</w:t>
            </w:r>
          </w:p>
        </w:tc>
        <w:tc>
          <w:tcPr>
            <w:tcW w:w="2158" w:type="dxa"/>
            <w:shd w:val="clear" w:color="auto" w:fill="auto"/>
            <w:vAlign w:val="center"/>
          </w:tcPr>
          <w:p>
            <w:pPr>
              <w:spacing w:before="156"/>
              <w:ind w:firstLine="0" w:firstLineChars="0"/>
              <w:jc w:val="center"/>
            </w:pPr>
            <w:r>
              <w:t>永川区</w:t>
            </w:r>
          </w:p>
        </w:tc>
        <w:tc>
          <w:tcPr>
            <w:tcW w:w="1539" w:type="dxa"/>
            <w:shd w:val="clear" w:color="auto" w:fill="auto"/>
            <w:vAlign w:val="center"/>
          </w:tcPr>
          <w:p>
            <w:pPr>
              <w:spacing w:before="156"/>
              <w:ind w:firstLine="0" w:firstLineChars="0"/>
              <w:jc w:val="center"/>
            </w:pPr>
            <w:r>
              <w:t>382</w:t>
            </w:r>
          </w:p>
        </w:tc>
        <w:tc>
          <w:tcPr>
            <w:tcW w:w="1853" w:type="dxa"/>
            <w:shd w:val="clear" w:color="auto" w:fill="auto"/>
            <w:vAlign w:val="center"/>
          </w:tcPr>
          <w:p>
            <w:pPr>
              <w:spacing w:before="156"/>
              <w:ind w:firstLine="0" w:firstLineChars="0"/>
              <w:jc w:val="center"/>
            </w:pPr>
            <w:r>
              <w:t>120.77</w:t>
            </w:r>
          </w:p>
        </w:tc>
        <w:tc>
          <w:tcPr>
            <w:tcW w:w="2166" w:type="dxa"/>
            <w:shd w:val="clear" w:color="auto" w:fill="auto"/>
            <w:vAlign w:val="center"/>
          </w:tcPr>
          <w:p>
            <w:pPr>
              <w:spacing w:before="156"/>
              <w:ind w:firstLine="0" w:firstLineChars="0"/>
              <w:jc w:val="center"/>
            </w:pPr>
            <w: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964" w:type="dxa"/>
            <w:gridSpan w:val="2"/>
            <w:vAlign w:val="center"/>
          </w:tcPr>
          <w:p>
            <w:pPr>
              <w:spacing w:before="156"/>
              <w:ind w:firstLine="0" w:firstLineChars="0"/>
              <w:jc w:val="center"/>
            </w:pPr>
            <w:r>
              <w:rPr>
                <w:rFonts w:hint="eastAsia"/>
              </w:rPr>
              <w:t>合计</w:t>
            </w:r>
          </w:p>
        </w:tc>
        <w:tc>
          <w:tcPr>
            <w:tcW w:w="1539" w:type="dxa"/>
            <w:shd w:val="clear" w:color="auto" w:fill="auto"/>
            <w:vAlign w:val="center"/>
          </w:tcPr>
          <w:p>
            <w:pPr>
              <w:spacing w:before="156"/>
              <w:ind w:firstLine="0" w:firstLineChars="0"/>
              <w:jc w:val="center"/>
            </w:pPr>
            <w:r>
              <w:rPr>
                <w:rFonts w:hint="eastAsia"/>
              </w:rPr>
              <w:t>7</w:t>
            </w:r>
            <w:r>
              <w:t>275</w:t>
            </w:r>
          </w:p>
        </w:tc>
        <w:tc>
          <w:tcPr>
            <w:tcW w:w="1853" w:type="dxa"/>
            <w:shd w:val="clear" w:color="auto" w:fill="auto"/>
            <w:vAlign w:val="center"/>
          </w:tcPr>
          <w:p>
            <w:pPr>
              <w:spacing w:before="156"/>
              <w:ind w:firstLine="0" w:firstLineChars="0"/>
              <w:jc w:val="center"/>
            </w:pPr>
            <w:r>
              <w:rPr>
                <w:rFonts w:hint="eastAsia"/>
              </w:rPr>
              <w:t>1</w:t>
            </w:r>
            <w:r>
              <w:t>165.00</w:t>
            </w:r>
          </w:p>
        </w:tc>
        <w:tc>
          <w:tcPr>
            <w:tcW w:w="2166" w:type="dxa"/>
            <w:shd w:val="clear" w:color="auto" w:fill="auto"/>
            <w:vAlign w:val="center"/>
          </w:tcPr>
          <w:p>
            <w:pPr>
              <w:spacing w:before="156"/>
              <w:ind w:firstLine="0" w:firstLineChars="0"/>
              <w:jc w:val="center"/>
            </w:pPr>
            <w:r>
              <w:rPr>
                <w:rFonts w:hint="eastAsia"/>
              </w:rPr>
              <w:t>0</w:t>
            </w:r>
            <w:r>
              <w:t>.16</w:t>
            </w:r>
          </w:p>
        </w:tc>
      </w:tr>
    </w:tbl>
    <w:p>
      <w:pPr>
        <w:spacing w:before="156"/>
        <w:ind w:firstLine="480"/>
      </w:pPr>
      <w:r>
        <w:rPr>
          <w:rFonts w:hint="eastAsia"/>
        </w:rPr>
        <w:t>V</w:t>
      </w:r>
      <w:r>
        <w:t>OC</w:t>
      </w:r>
      <w:r>
        <w:rPr>
          <w:rFonts w:hint="eastAsia"/>
        </w:rPr>
        <w:t>s排放量核算时，取表6-</w:t>
      </w:r>
      <w:r>
        <w:t>3</w:t>
      </w:r>
      <w:r>
        <w:rPr>
          <w:rFonts w:hint="eastAsia"/>
        </w:rPr>
        <w:t>中的加权平均值</w:t>
      </w:r>
      <w:r>
        <w:t>作0.16吨/家为重庆市汽修行业VOCs排放因子</w:t>
      </w:r>
      <w:r>
        <w:rPr>
          <w:rFonts w:hint="eastAsia"/>
        </w:rPr>
        <w:t>，</w:t>
      </w:r>
      <w:r>
        <w:t>以此计算全市汽修行业VOCs排放量为1679吨。</w:t>
      </w:r>
      <w:r>
        <w:rPr>
          <w:rFonts w:hint="eastAsia"/>
        </w:rPr>
        <w:t>从排放分布情况来看，排放量前十的区县排放量为55吨（开州区）~159.2吨（渝北区），占全市总排放量的50%以上，其中万州区和开州区位于渝东北地区，其余均位于主城都市区，排放空间分布差异十分显著。各区县汽车维修企业VOCs排放量详见下图。</w:t>
      </w:r>
    </w:p>
    <w:p>
      <w:pPr>
        <w:spacing w:before="156" w:line="240" w:lineRule="auto"/>
        <w:ind w:firstLine="0" w:firstLineChars="0"/>
        <w:jc w:val="center"/>
      </w:pPr>
      <w:r>
        <w:drawing>
          <wp:inline distT="0" distB="0" distL="0" distR="0">
            <wp:extent cx="5274310" cy="2986405"/>
            <wp:effectExtent l="0" t="0" r="2540" b="4445"/>
            <wp:docPr id="164453020" name="图表 164453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before="156"/>
        <w:ind w:firstLine="0" w:firstLineChars="0"/>
        <w:jc w:val="center"/>
        <w:rPr>
          <w:b/>
          <w:sz w:val="21"/>
          <w:szCs w:val="21"/>
        </w:rPr>
      </w:pPr>
      <w:r>
        <w:rPr>
          <w:rFonts w:hint="eastAsia"/>
          <w:b/>
          <w:sz w:val="21"/>
          <w:szCs w:val="21"/>
        </w:rPr>
        <w:t xml:space="preserve">图6.5 </w:t>
      </w:r>
      <w:r>
        <w:rPr>
          <w:b/>
          <w:sz w:val="21"/>
          <w:szCs w:val="21"/>
        </w:rPr>
        <w:t>各区县汽修VOCs排放量</w:t>
      </w:r>
    </w:p>
    <w:p>
      <w:pPr>
        <w:pStyle w:val="4"/>
        <w:spacing w:before="156" w:after="156"/>
      </w:pPr>
      <w:bookmarkStart w:id="84" w:name="_Toc226540454"/>
      <w:r>
        <w:rPr>
          <w:rFonts w:hint="eastAsia"/>
        </w:rPr>
        <w:t>重庆市汽车维修企业大气污染物排放情况</w:t>
      </w:r>
      <w:bookmarkEnd w:id="84"/>
    </w:p>
    <w:p>
      <w:pPr>
        <w:spacing w:before="156"/>
        <w:ind w:firstLine="480"/>
      </w:pPr>
      <w:r>
        <w:rPr>
          <w:rFonts w:hint="eastAsia"/>
        </w:rPr>
        <w:t>通过收集重庆市39家汽车维修企业监测报告，整理了这些企业有组织排放的大气污染物浓度，监测的主要污染物为苯、苯系物和NMHC，平均浓度分别为0.04mg/m</w:t>
      </w:r>
      <w:r>
        <w:rPr>
          <w:rFonts w:hint="eastAsia"/>
          <w:vertAlign w:val="superscript"/>
        </w:rPr>
        <w:t>3</w:t>
      </w:r>
      <w:r>
        <w:rPr>
          <w:rFonts w:hint="eastAsia"/>
        </w:rPr>
        <w:t>、2.47mg/m</w:t>
      </w:r>
      <w:r>
        <w:rPr>
          <w:rFonts w:hint="eastAsia"/>
          <w:vertAlign w:val="superscript"/>
        </w:rPr>
        <w:t>3</w:t>
      </w:r>
      <w:r>
        <w:rPr>
          <w:rFonts w:hint="eastAsia"/>
        </w:rPr>
        <w:t>、4.15mg/m</w:t>
      </w:r>
      <w:r>
        <w:rPr>
          <w:rFonts w:hint="eastAsia"/>
          <w:vertAlign w:val="superscript"/>
        </w:rPr>
        <w:t>3</w:t>
      </w:r>
      <w:r>
        <w:rPr>
          <w:rFonts w:hint="eastAsia"/>
        </w:rPr>
        <w:t>，其中3家企业排放浓度超过本草案的浓度限值。</w:t>
      </w:r>
    </w:p>
    <w:p>
      <w:pPr>
        <w:spacing w:before="156" w:line="360" w:lineRule="auto"/>
        <w:ind w:firstLine="0" w:firstLineChars="0"/>
        <w:jc w:val="center"/>
      </w:pPr>
      <w:r>
        <w:drawing>
          <wp:inline distT="0" distB="0" distL="0" distR="0">
            <wp:extent cx="4104005" cy="2464435"/>
            <wp:effectExtent l="0" t="0" r="0" b="0"/>
            <wp:docPr id="2561543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4372" name="图片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117058" cy="2472416"/>
                    </a:xfrm>
                    <a:prstGeom prst="rect">
                      <a:avLst/>
                    </a:prstGeom>
                  </pic:spPr>
                </pic:pic>
              </a:graphicData>
            </a:graphic>
          </wp:inline>
        </w:drawing>
      </w:r>
    </w:p>
    <w:p>
      <w:pPr>
        <w:spacing w:before="156"/>
        <w:ind w:firstLine="0" w:firstLineChars="0"/>
        <w:jc w:val="center"/>
        <w:rPr>
          <w:b/>
          <w:sz w:val="21"/>
          <w:szCs w:val="21"/>
        </w:rPr>
      </w:pPr>
      <w:r>
        <w:rPr>
          <w:rFonts w:hint="eastAsia"/>
          <w:b/>
          <w:sz w:val="21"/>
          <w:szCs w:val="21"/>
        </w:rPr>
        <w:t>图6.6 汽车维修企业大气污染物排放浓度</w:t>
      </w:r>
    </w:p>
    <w:p>
      <w:pPr>
        <w:pStyle w:val="3"/>
        <w:spacing w:before="156" w:after="156"/>
        <w:rPr>
          <w:rFonts w:ascii="Times New Roman" w:hAnsi="Times New Roman" w:cs="Times New Roman"/>
        </w:rPr>
      </w:pPr>
      <w:bookmarkStart w:id="85" w:name="_Toc226540455"/>
      <w:r>
        <w:rPr>
          <w:rFonts w:ascii="Times New Roman" w:hAnsi="Times New Roman" w:cs="Times New Roman"/>
        </w:rPr>
        <w:t>汽车</w:t>
      </w:r>
      <w:r>
        <w:rPr>
          <w:rFonts w:hint="eastAsia" w:ascii="Times New Roman" w:hAnsi="Times New Roman" w:cs="Times New Roman"/>
        </w:rPr>
        <w:t>维修行业</w:t>
      </w:r>
      <w:r>
        <w:rPr>
          <w:rFonts w:ascii="Times New Roman" w:hAnsi="Times New Roman" w:cs="Times New Roman"/>
        </w:rPr>
        <w:t>治理现状</w:t>
      </w:r>
      <w:bookmarkEnd w:id="85"/>
    </w:p>
    <w:p>
      <w:pPr>
        <w:pStyle w:val="4"/>
        <w:spacing w:before="156" w:after="156"/>
      </w:pPr>
      <w:bookmarkStart w:id="86" w:name="_Toc226540456"/>
      <w:r>
        <w:rPr>
          <w:rFonts w:hint="eastAsia"/>
        </w:rPr>
        <w:t>污染预防技术</w:t>
      </w:r>
      <w:bookmarkEnd w:id="86"/>
    </w:p>
    <w:p>
      <w:pPr>
        <w:spacing w:before="156"/>
        <w:ind w:firstLine="480"/>
      </w:pPr>
      <w:r>
        <w:rPr>
          <w:rFonts w:hint="eastAsia"/>
        </w:rPr>
        <w:t>在源头控制阶段，提倡使用低挥发性有机物含量的原辅材料。汽修行业VOCs排放主要来源于修补用料，包括底漆、面漆、清漆、稀释剂、固化剂。研究表明：水性面漆和稀释剂中VOCs含量远低于溶剂型，采用水性漆替代可以有效减少VOCs的产生量，除水性漆外，还有高固体分涂料、粉末涂料等，依照工艺、质量要求选择合适的低挥发性有机物含量的原料替代。</w:t>
      </w:r>
    </w:p>
    <w:p>
      <w:pPr>
        <w:spacing w:before="156"/>
        <w:ind w:firstLine="480"/>
      </w:pPr>
      <w:r>
        <w:rPr>
          <w:rFonts w:hint="eastAsia"/>
        </w:rPr>
        <w:t>在过程管理阶段，对原料漆调配、使用过程中，需按照要求对涂料、稀释剂等原料的储存、运输、调配及使用过程进行管理。要求运输过程中必须保证原料密封良好，避免泄露损坏；使用过程中随取随开，用后必须马上封闭漆桶以减少挥发，使用完毕的漆桶也必须密封保存。使用喷涂效率较高的喷枪，加强对操作工人的培训，提高涂料的使用效率，减少VOCs的排放。</w:t>
      </w:r>
    </w:p>
    <w:p>
      <w:pPr>
        <w:pStyle w:val="4"/>
        <w:spacing w:before="156" w:after="156"/>
      </w:pPr>
      <w:bookmarkStart w:id="87" w:name="_Toc226540457"/>
      <w:r>
        <w:t>污染治理技术</w:t>
      </w:r>
      <w:bookmarkEnd w:id="87"/>
    </w:p>
    <w:p>
      <w:pPr>
        <w:spacing w:before="156"/>
        <w:ind w:firstLine="480"/>
      </w:pPr>
      <w:r>
        <w:rPr>
          <w:rFonts w:hint="eastAsia"/>
        </w:rPr>
        <w:t>喷涂有机废气的处理技术中，有传统的吸附法、吸收法、生物处理法和联用的吸附-光氧催化法、吸附-催化燃烧法是目前VOCs治理常用的技术方法，其技术难易程度、设备成本和运行成本不尽相同。</w:t>
      </w:r>
    </w:p>
    <w:p>
      <w:pPr>
        <w:spacing w:before="156"/>
        <w:ind w:firstLine="480"/>
      </w:pPr>
      <w:r>
        <w:t>目前重庆乃至全国汽修企业主要采用活性炭吸附法，大多数喷漆房都配有活性炭吸附装置（部分配有水膜式漆雾处理装置），通过定期或不定期更换颗粒活性炭来吸收、吸附和净化喷漆烤漆废气。重庆有部分企业采用UV光解+活性炭吸附的组合技术。</w:t>
      </w:r>
    </w:p>
    <w:p>
      <w:pPr>
        <w:spacing w:before="156"/>
        <w:ind w:firstLine="480"/>
      </w:pPr>
      <w:r>
        <w:rPr>
          <w:rFonts w:hint="eastAsia"/>
        </w:rPr>
        <w:t>通过收集重庆市39家汽车维修企业监测报告，整理了这些企业采用的VOCs和颗粒物治理技术，VOCs治理技术中，32家企业采用UV光氧+活性炭吸附的组合技术，3家企业采用活性炭吸附-催化燃烧技术，2家企业采用液膜吸收净化+UV光氧技术；颗粒物治理技术中，14家企业采用干式过滤，7家企业采用水喷淋+干式过滤的组合技术，其余企业主要采用单一水喷淋技术。具体情况见下表。</w:t>
      </w:r>
    </w:p>
    <w:p>
      <w:pPr>
        <w:spacing w:before="156"/>
        <w:ind w:firstLine="0" w:firstLineChars="0"/>
        <w:jc w:val="center"/>
        <w:rPr>
          <w:b/>
          <w:sz w:val="21"/>
          <w:szCs w:val="21"/>
        </w:rPr>
      </w:pPr>
      <w:r>
        <w:rPr>
          <w:rFonts w:hint="eastAsia"/>
          <w:b/>
          <w:sz w:val="21"/>
          <w:szCs w:val="21"/>
        </w:rPr>
        <w:t>表6-4 调研汽车维修企业污染治理技术</w:t>
      </w:r>
    </w:p>
    <w:tbl>
      <w:tblPr>
        <w:tblStyle w:val="3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75"/>
        <w:gridCol w:w="850"/>
        <w:gridCol w:w="311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序号</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所属区县</w:t>
            </w:r>
          </w:p>
        </w:tc>
        <w:tc>
          <w:tcPr>
            <w:tcW w:w="850"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类别</w:t>
            </w:r>
          </w:p>
        </w:tc>
        <w:tc>
          <w:tcPr>
            <w:tcW w:w="3119" w:type="dxa"/>
          </w:tcPr>
          <w:p>
            <w:pPr>
              <w:spacing w:before="156" w:line="240" w:lineRule="auto"/>
              <w:ind w:firstLine="0" w:firstLineChars="0"/>
              <w:jc w:val="center"/>
              <w:rPr>
                <w:rFonts w:cs="Times New Roman"/>
                <w:sz w:val="21"/>
                <w:szCs w:val="21"/>
              </w:rPr>
            </w:pPr>
            <w:r>
              <w:rPr>
                <w:rFonts w:hint="eastAsia" w:cs="Times New Roman"/>
                <w:sz w:val="21"/>
                <w:szCs w:val="21"/>
              </w:rPr>
              <w:t>VOCs治理技术</w:t>
            </w:r>
          </w:p>
        </w:tc>
        <w:tc>
          <w:tcPr>
            <w:tcW w:w="2347" w:type="dxa"/>
          </w:tcPr>
          <w:p>
            <w:pPr>
              <w:spacing w:before="156" w:line="240" w:lineRule="auto"/>
              <w:ind w:firstLine="0" w:firstLineChars="0"/>
              <w:jc w:val="center"/>
              <w:rPr>
                <w:rFonts w:cs="Times New Roman"/>
                <w:sz w:val="21"/>
                <w:szCs w:val="21"/>
              </w:rPr>
            </w:pPr>
            <w:r>
              <w:rPr>
                <w:rFonts w:hint="eastAsia" w:cs="Times New Roman"/>
                <w:sz w:val="21"/>
                <w:szCs w:val="21"/>
              </w:rPr>
              <w:t>颗粒物治理技术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4</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5</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脉冲滤筒除尘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6</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7</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渝中区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液膜吸收净化+UV光氧</w:t>
            </w:r>
          </w:p>
        </w:tc>
        <w:tc>
          <w:tcPr>
            <w:tcW w:w="2347" w:type="dxa"/>
          </w:tcPr>
          <w:p>
            <w:pPr>
              <w:spacing w:before="156" w:line="240" w:lineRule="auto"/>
              <w:ind w:firstLine="0" w:firstLineChars="0"/>
              <w:jc w:val="center"/>
              <w:rPr>
                <w:rFonts w:cs="Times New Roman"/>
                <w:sz w:val="21"/>
                <w:szCs w:val="21"/>
              </w:rPr>
            </w:pPr>
            <w:r>
              <w:rPr>
                <w:rFonts w:hint="eastAsia"/>
                <w:sz w:val="21"/>
                <w:szCs w:val="21"/>
              </w:rPr>
              <w:t>液膜吸收净化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8</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渝北区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活性炭吸附-催化燃烧</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9</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永川区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活性炭吸附-催化燃烧</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10</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永川区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11</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永川区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催化燃烧</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12</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永川区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13</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沙坪坝区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活性炭吸附-脱附-催化燃烧</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14</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15</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16</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17</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18</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19</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綦江区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20</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南川区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21</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南川区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22</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南岸区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23</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两江新区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水旋塔+干式过滤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24</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两江新区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25</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两江新区</w:t>
            </w:r>
          </w:p>
        </w:tc>
        <w:tc>
          <w:tcPr>
            <w:tcW w:w="850" w:type="dxa"/>
          </w:tcPr>
          <w:p>
            <w:pPr>
              <w:spacing w:before="156" w:line="240" w:lineRule="auto"/>
              <w:ind w:firstLine="0" w:firstLineChars="0"/>
              <w:jc w:val="center"/>
              <w:rPr>
                <w:sz w:val="21"/>
                <w:szCs w:val="21"/>
              </w:rPr>
            </w:pPr>
            <w:r>
              <w:rPr>
                <w:rFonts w:hint="eastAsia"/>
                <w:sz w:val="21"/>
                <w:szCs w:val="21"/>
              </w:rPr>
              <w:t>三类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液膜吸收净化+UV光氧</w:t>
            </w:r>
          </w:p>
        </w:tc>
        <w:tc>
          <w:tcPr>
            <w:tcW w:w="2347" w:type="dxa"/>
          </w:tcPr>
          <w:p>
            <w:pPr>
              <w:spacing w:before="156" w:line="240" w:lineRule="auto"/>
              <w:ind w:firstLine="0" w:firstLineChars="0"/>
              <w:jc w:val="center"/>
              <w:rPr>
                <w:rFonts w:cs="Times New Roman"/>
                <w:sz w:val="21"/>
                <w:szCs w:val="21"/>
              </w:rPr>
            </w:pPr>
            <w:r>
              <w:rPr>
                <w:rFonts w:hint="eastAsia"/>
                <w:sz w:val="21"/>
                <w:szCs w:val="21"/>
              </w:rPr>
              <w:t>液膜吸收净化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26</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江津区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27</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28</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29</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30</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一类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31</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32</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三类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33</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合川区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34</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涪陵区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35</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北碚区</w:t>
            </w:r>
          </w:p>
        </w:tc>
        <w:tc>
          <w:tcPr>
            <w:tcW w:w="850" w:type="dxa"/>
          </w:tcPr>
          <w:p>
            <w:pPr>
              <w:spacing w:before="156" w:line="240" w:lineRule="auto"/>
              <w:ind w:firstLine="0" w:firstLineChars="0"/>
              <w:jc w:val="center"/>
              <w:rPr>
                <w:sz w:val="21"/>
                <w:szCs w:val="21"/>
              </w:rPr>
            </w:pPr>
            <w:r>
              <w:rPr>
                <w:rFonts w:hint="eastAsia"/>
                <w:sz w:val="21"/>
                <w:szCs w:val="21"/>
              </w:rPr>
              <w:t>/</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36</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巴南区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37</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巴南区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38</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巴南区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rFonts w:hint="eastAsia"/>
                <w:sz w:val="21"/>
                <w:szCs w:val="21"/>
              </w:rPr>
              <w:t>水喷淋+干式过滤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39</w:t>
            </w:r>
          </w:p>
        </w:tc>
        <w:tc>
          <w:tcPr>
            <w:tcW w:w="1275" w:type="dxa"/>
            <w:vAlign w:val="center"/>
          </w:tcPr>
          <w:p>
            <w:pPr>
              <w:spacing w:before="156" w:line="240" w:lineRule="auto"/>
              <w:ind w:firstLine="0" w:firstLineChars="0"/>
              <w:jc w:val="center"/>
              <w:rPr>
                <w:rFonts w:cs="Times New Roman"/>
                <w:sz w:val="21"/>
                <w:szCs w:val="21"/>
              </w:rPr>
            </w:pPr>
            <w:r>
              <w:rPr>
                <w:rFonts w:hint="eastAsia" w:cs="Times New Roman"/>
                <w:sz w:val="21"/>
                <w:szCs w:val="21"/>
              </w:rPr>
              <w:t>巴南区</w:t>
            </w:r>
          </w:p>
        </w:tc>
        <w:tc>
          <w:tcPr>
            <w:tcW w:w="850" w:type="dxa"/>
          </w:tcPr>
          <w:p>
            <w:pPr>
              <w:spacing w:before="156" w:line="240" w:lineRule="auto"/>
              <w:ind w:firstLine="0" w:firstLineChars="0"/>
              <w:jc w:val="center"/>
              <w:rPr>
                <w:sz w:val="21"/>
                <w:szCs w:val="21"/>
              </w:rPr>
            </w:pPr>
            <w:r>
              <w:rPr>
                <w:rFonts w:hint="eastAsia"/>
                <w:sz w:val="21"/>
                <w:szCs w:val="21"/>
              </w:rPr>
              <w:t>二类</w:t>
            </w:r>
          </w:p>
        </w:tc>
        <w:tc>
          <w:tcPr>
            <w:tcW w:w="3119" w:type="dxa"/>
          </w:tcPr>
          <w:p>
            <w:pPr>
              <w:spacing w:before="156" w:line="240" w:lineRule="auto"/>
              <w:ind w:firstLine="0" w:firstLineChars="0"/>
              <w:jc w:val="center"/>
              <w:rPr>
                <w:rFonts w:cs="Times New Roman"/>
                <w:sz w:val="21"/>
                <w:szCs w:val="21"/>
              </w:rPr>
            </w:pPr>
            <w:r>
              <w:rPr>
                <w:rFonts w:hint="eastAsia"/>
                <w:sz w:val="21"/>
                <w:szCs w:val="21"/>
              </w:rPr>
              <w:t>UV光氧+活性炭吸附</w:t>
            </w:r>
          </w:p>
        </w:tc>
        <w:tc>
          <w:tcPr>
            <w:tcW w:w="2347" w:type="dxa"/>
          </w:tcPr>
          <w:p>
            <w:pPr>
              <w:spacing w:before="156" w:line="240" w:lineRule="auto"/>
              <w:ind w:firstLine="0" w:firstLineChars="0"/>
              <w:jc w:val="center"/>
              <w:rPr>
                <w:rFonts w:cs="Times New Roman"/>
                <w:sz w:val="21"/>
                <w:szCs w:val="21"/>
              </w:rPr>
            </w:pPr>
            <w:r>
              <w:rPr>
                <w:sz w:val="21"/>
                <w:szCs w:val="21"/>
              </w:rPr>
              <w:t>/</w:t>
            </w:r>
          </w:p>
        </w:tc>
      </w:tr>
    </w:tbl>
    <w:p>
      <w:pPr>
        <w:pStyle w:val="4"/>
        <w:spacing w:before="156" w:after="156"/>
      </w:pPr>
      <w:bookmarkStart w:id="88" w:name="_Toc226540458"/>
      <w:r>
        <w:rPr>
          <w:rFonts w:hint="eastAsia"/>
        </w:rPr>
        <w:t>主要问题</w:t>
      </w:r>
      <w:bookmarkEnd w:id="88"/>
    </w:p>
    <w:p>
      <w:pPr>
        <w:spacing w:before="156"/>
        <w:ind w:firstLine="480"/>
      </w:pPr>
      <w:r>
        <w:rPr>
          <w:rFonts w:hint="eastAsia"/>
        </w:rPr>
        <w:t>（1）技术规范配套不完善</w:t>
      </w:r>
    </w:p>
    <w:p>
      <w:pPr>
        <w:spacing w:before="156"/>
        <w:ind w:firstLine="480"/>
      </w:pPr>
      <w:r>
        <w:t>由于各种技术的投资成本、成熟程度、治理效果等因素，国内汽车维修行业目前大部分均采用活性炭吸附法处理喷烤漆过程产生的VOCs，因此需重点针对活性炭吸附工艺运行过程提出相应的技术规范，并对其他处理技术提出达标要求。</w:t>
      </w:r>
    </w:p>
    <w:p>
      <w:pPr>
        <w:spacing w:before="156"/>
        <w:ind w:firstLine="480"/>
      </w:pPr>
      <w:r>
        <w:rPr>
          <w:rFonts w:hint="eastAsia"/>
        </w:rPr>
        <w:t>（2）环保设施普遍低效</w:t>
      </w:r>
    </w:p>
    <w:p>
      <w:pPr>
        <w:spacing w:before="156"/>
        <w:ind w:firstLine="480"/>
      </w:pPr>
      <w:r>
        <w:t>对主城都市区17家企业进行了现场调研时发现，汽修企业普遍采用光催化</w:t>
      </w:r>
      <w:r>
        <w:rPr>
          <w:rFonts w:hint="eastAsia"/>
        </w:rPr>
        <w:t>、</w:t>
      </w:r>
      <w:r>
        <w:t>活性炭吸附</w:t>
      </w:r>
      <w:r>
        <w:rPr>
          <w:rFonts w:hint="eastAsia"/>
        </w:rPr>
        <w:t>或</w:t>
      </w:r>
      <w:r>
        <w:t>喷淋等低效工艺，平均去除率仅30%；同时存在着喷漆废气预处理效果差，UV光管不清洗不更换、活性炭填装量小，更换频率低的特点。活性炭更换和处置台账不健全。危废间和调漆室存在未密闭或废气未接入治理设施情况。</w:t>
      </w:r>
    </w:p>
    <w:tbl>
      <w:tblPr>
        <w:tblStyle w:val="94"/>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before="156" w:line="20" w:lineRule="exact"/>
              <w:ind w:firstLine="0" w:firstLineChars="0"/>
              <w:rPr>
                <w:rFonts w:hint="eastAsia" w:ascii="DengXian" w:hAnsi="DengXian" w:eastAsia="DengXian" w:cs="Times New Roman"/>
                <w:sz w:val="28"/>
                <w:szCs w:val="21"/>
              </w:rPr>
            </w:pPr>
            <w:r>
              <w:rPr>
                <w:rFonts w:ascii="DengXian" w:hAnsi="DengXian" w:eastAsia="DengXian" w:cs="Times New Roman"/>
                <w:sz w:val="28"/>
                <w:szCs w:val="21"/>
              </w:rPr>
              <w:drawing>
                <wp:anchor distT="0" distB="0" distL="114300" distR="114300" simplePos="0" relativeHeight="251661312" behindDoc="0" locked="0" layoutInCell="1" allowOverlap="1">
                  <wp:simplePos x="0" y="0"/>
                  <wp:positionH relativeFrom="margin">
                    <wp:posOffset>-67945</wp:posOffset>
                  </wp:positionH>
                  <wp:positionV relativeFrom="margin">
                    <wp:posOffset>635</wp:posOffset>
                  </wp:positionV>
                  <wp:extent cx="2482850" cy="1699895"/>
                  <wp:effectExtent l="0" t="0" r="0" b="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33" cstate="email"/>
                          <a:srcRect/>
                          <a:stretch>
                            <a:fillRect/>
                          </a:stretch>
                        </pic:blipFill>
                        <pic:spPr>
                          <a:xfrm>
                            <a:off x="0" y="0"/>
                            <a:ext cx="2482850" cy="1699895"/>
                          </a:xfrm>
                          <a:prstGeom prst="rect">
                            <a:avLst/>
                          </a:prstGeom>
                          <a:noFill/>
                          <a:ln>
                            <a:noFill/>
                          </a:ln>
                        </pic:spPr>
                      </pic:pic>
                    </a:graphicData>
                  </a:graphic>
                </wp:anchor>
              </w:drawing>
            </w:r>
            <w:r>
              <w:rPr>
                <w:rFonts w:ascii="DengXian" w:hAnsi="DengXian" w:eastAsia="DengXian" w:cs="Times New Roman"/>
                <w:sz w:val="28"/>
                <w:szCs w:val="21"/>
              </w:rPr>
              <w:drawing>
                <wp:anchor distT="0" distB="0" distL="114300" distR="114300" simplePos="0" relativeHeight="251663360" behindDoc="0" locked="0" layoutInCell="1" allowOverlap="1">
                  <wp:simplePos x="0" y="0"/>
                  <wp:positionH relativeFrom="margin">
                    <wp:posOffset>-67945</wp:posOffset>
                  </wp:positionH>
                  <wp:positionV relativeFrom="margin">
                    <wp:posOffset>1742440</wp:posOffset>
                  </wp:positionV>
                  <wp:extent cx="2482850" cy="1690370"/>
                  <wp:effectExtent l="0" t="0" r="0" b="508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4" cstate="email"/>
                          <a:srcRect/>
                          <a:stretch>
                            <a:fillRect/>
                          </a:stretch>
                        </pic:blipFill>
                        <pic:spPr>
                          <a:xfrm>
                            <a:off x="0" y="0"/>
                            <a:ext cx="2482850" cy="1690370"/>
                          </a:xfrm>
                          <a:prstGeom prst="rect">
                            <a:avLst/>
                          </a:prstGeom>
                          <a:noFill/>
                          <a:ln>
                            <a:noFill/>
                          </a:ln>
                        </pic:spPr>
                      </pic:pic>
                    </a:graphicData>
                  </a:graphic>
                </wp:anchor>
              </w:drawing>
            </w:r>
          </w:p>
        </w:tc>
        <w:tc>
          <w:tcPr>
            <w:tcW w:w="4148" w:type="dxa"/>
          </w:tcPr>
          <w:p>
            <w:pPr>
              <w:spacing w:before="156" w:line="20" w:lineRule="exact"/>
              <w:ind w:firstLine="0" w:firstLineChars="0"/>
              <w:rPr>
                <w:rFonts w:hint="eastAsia" w:ascii="DengXian" w:hAnsi="DengXian" w:eastAsia="DengXian" w:cs="Times New Roman"/>
                <w:sz w:val="28"/>
                <w:szCs w:val="21"/>
              </w:rPr>
            </w:pPr>
            <w:r>
              <w:rPr>
                <w:rFonts w:ascii="DengXian" w:hAnsi="DengXian" w:eastAsia="DengXian" w:cs="Times New Roman"/>
                <w:sz w:val="28"/>
                <w:szCs w:val="21"/>
              </w:rPr>
              <w:drawing>
                <wp:anchor distT="0" distB="0" distL="114300" distR="114300" simplePos="0" relativeHeight="251664384" behindDoc="0" locked="0" layoutInCell="1" allowOverlap="1">
                  <wp:simplePos x="0" y="0"/>
                  <wp:positionH relativeFrom="margin">
                    <wp:posOffset>293370</wp:posOffset>
                  </wp:positionH>
                  <wp:positionV relativeFrom="margin">
                    <wp:posOffset>1391285</wp:posOffset>
                  </wp:positionV>
                  <wp:extent cx="1681480" cy="2391410"/>
                  <wp:effectExtent l="6985" t="0" r="1905" b="1905"/>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35" cstate="print"/>
                          <a:srcRect/>
                          <a:stretch>
                            <a:fillRect/>
                          </a:stretch>
                        </pic:blipFill>
                        <pic:spPr>
                          <a:xfrm rot="5400000">
                            <a:off x="0" y="0"/>
                            <a:ext cx="1681480" cy="2391410"/>
                          </a:xfrm>
                          <a:prstGeom prst="rect">
                            <a:avLst/>
                          </a:prstGeom>
                          <a:noFill/>
                          <a:ln>
                            <a:noFill/>
                          </a:ln>
                        </pic:spPr>
                      </pic:pic>
                    </a:graphicData>
                  </a:graphic>
                </wp:anchor>
              </w:drawing>
            </w:r>
            <w:r>
              <w:rPr>
                <w:rFonts w:ascii="DengXian" w:hAnsi="DengXian" w:eastAsia="DengXian" w:cs="Times New Roman"/>
                <w:sz w:val="28"/>
                <w:szCs w:val="21"/>
              </w:rPr>
              <w:drawing>
                <wp:anchor distT="0" distB="0" distL="114300" distR="114300" simplePos="0" relativeHeight="251662336" behindDoc="0" locked="0" layoutInCell="1" allowOverlap="1">
                  <wp:simplePos x="0" y="0"/>
                  <wp:positionH relativeFrom="margin">
                    <wp:posOffset>-67945</wp:posOffset>
                  </wp:positionH>
                  <wp:positionV relativeFrom="margin">
                    <wp:posOffset>1270</wp:posOffset>
                  </wp:positionV>
                  <wp:extent cx="2397125" cy="1699895"/>
                  <wp:effectExtent l="0" t="0" r="381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6" cstate="email"/>
                          <a:srcRect/>
                          <a:stretch>
                            <a:fillRect/>
                          </a:stretch>
                        </pic:blipFill>
                        <pic:spPr>
                          <a:xfrm>
                            <a:off x="0" y="0"/>
                            <a:ext cx="2397004" cy="1699668"/>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before="156" w:line="20" w:lineRule="exact"/>
              <w:ind w:firstLine="0" w:firstLineChars="0"/>
              <w:rPr>
                <w:rFonts w:hint="eastAsia" w:ascii="DengXian" w:hAnsi="DengXian" w:eastAsia="DengXian" w:cs="Times New Roman"/>
                <w:sz w:val="28"/>
                <w:szCs w:val="21"/>
              </w:rPr>
            </w:pPr>
          </w:p>
        </w:tc>
        <w:tc>
          <w:tcPr>
            <w:tcW w:w="4148" w:type="dxa"/>
          </w:tcPr>
          <w:p>
            <w:pPr>
              <w:spacing w:before="156" w:line="20" w:lineRule="exact"/>
              <w:ind w:firstLine="0" w:firstLineChars="0"/>
              <w:rPr>
                <w:rFonts w:hint="eastAsia" w:ascii="DengXian" w:hAnsi="DengXian" w:eastAsia="DengXian" w:cs="Times New Roman"/>
                <w:sz w:val="28"/>
                <w:szCs w:val="21"/>
              </w:rPr>
            </w:pPr>
          </w:p>
          <w:p>
            <w:pPr>
              <w:spacing w:before="156" w:line="20" w:lineRule="exact"/>
              <w:ind w:firstLine="0" w:firstLineChars="0"/>
              <w:rPr>
                <w:rFonts w:hint="eastAsia" w:ascii="DengXian" w:hAnsi="DengXian" w:eastAsia="DengXian" w:cs="Times New Roman"/>
                <w:sz w:val="28"/>
                <w:szCs w:val="21"/>
              </w:rPr>
            </w:pPr>
          </w:p>
        </w:tc>
      </w:tr>
    </w:tbl>
    <w:p>
      <w:pPr>
        <w:spacing w:before="156"/>
        <w:ind w:firstLine="0" w:firstLineChars="0"/>
        <w:jc w:val="center"/>
        <w:rPr>
          <w:b/>
          <w:sz w:val="21"/>
          <w:szCs w:val="21"/>
        </w:rPr>
      </w:pPr>
      <w:r>
        <w:rPr>
          <w:rFonts w:hint="eastAsia"/>
          <w:b/>
          <w:sz w:val="21"/>
          <w:szCs w:val="21"/>
        </w:rPr>
        <w:t>图6.7 汽修企业调研现场</w:t>
      </w:r>
    </w:p>
    <w:p>
      <w:pPr>
        <w:spacing w:before="156"/>
        <w:ind w:firstLine="480"/>
      </w:pPr>
      <w:r>
        <w:rPr>
          <w:rFonts w:hint="eastAsia"/>
        </w:rPr>
        <w:t>（3）分散式治理不经济</w:t>
      </w:r>
    </w:p>
    <w:p>
      <w:pPr>
        <w:spacing w:before="156"/>
        <w:ind w:firstLine="480"/>
      </w:pPr>
      <w:r>
        <w:rPr>
          <w:rFonts w:hint="eastAsia"/>
        </w:rPr>
        <w:t>在保证稳定的治理效果前提下</w:t>
      </w:r>
      <w:r>
        <w:t>，</w:t>
      </w:r>
      <w:r>
        <w:rPr>
          <w:rFonts w:hint="eastAsia"/>
        </w:rPr>
        <w:t>根据工程经验测算了不同治理技术的治理成本，见表6-</w:t>
      </w:r>
      <w:r>
        <w:t>5</w:t>
      </w:r>
      <w:r>
        <w:rPr>
          <w:rFonts w:hint="eastAsia"/>
        </w:rPr>
        <w:t>。</w:t>
      </w:r>
    </w:p>
    <w:p>
      <w:pPr>
        <w:spacing w:before="156"/>
        <w:ind w:firstLine="480"/>
      </w:pPr>
      <w:r>
        <w:t>主流的</w:t>
      </w:r>
      <w:r>
        <w:rPr>
          <w:rFonts w:hint="eastAsia"/>
        </w:rPr>
        <w:t>颗粒活性炭吸附</w:t>
      </w:r>
      <w:r>
        <w:t>的</w:t>
      </w:r>
      <w:r>
        <w:rPr>
          <w:rFonts w:hint="eastAsia"/>
        </w:rPr>
        <w:t>单车治理成本高达</w:t>
      </w:r>
      <w:r>
        <w:t>165</w:t>
      </w:r>
      <w:r>
        <w:rPr>
          <w:rFonts w:hint="eastAsia"/>
        </w:rPr>
        <w:t>元，而钣喷收费一般在2</w:t>
      </w:r>
      <w:r>
        <w:t>00</w:t>
      </w:r>
      <w:r>
        <w:rPr>
          <w:rFonts w:hint="eastAsia"/>
        </w:rPr>
        <w:t>-</w:t>
      </w:r>
      <w:r>
        <w:t>300</w:t>
      </w:r>
      <w:r>
        <w:rPr>
          <w:rFonts w:hint="eastAsia"/>
        </w:rPr>
        <w:t>元/面，该技术及其不经济。</w:t>
      </w:r>
      <w:r>
        <w:t>UV光解+活性炭吸附设施良好运行的费用</w:t>
      </w:r>
      <w:r>
        <w:rPr>
          <w:rFonts w:hint="eastAsia"/>
        </w:rPr>
        <w:t>也</w:t>
      </w:r>
      <w:r>
        <w:t>较高</w:t>
      </w:r>
      <w:r>
        <w:rPr>
          <w:rFonts w:hint="eastAsia"/>
        </w:rPr>
        <w:t>，单车治理成本为7</w:t>
      </w:r>
      <w:r>
        <w:t>8</w:t>
      </w:r>
      <w:r>
        <w:rPr>
          <w:rFonts w:hint="eastAsia"/>
        </w:rPr>
        <w:t>元，会显著增加消费者的成本，不具备市场竞争力。分散式蜂窝活性炭</w:t>
      </w:r>
      <w:r>
        <w:t>+CO</w:t>
      </w:r>
      <w:r>
        <w:rPr>
          <w:rFonts w:hint="eastAsia"/>
        </w:rPr>
        <w:t>单车治理成本为</w:t>
      </w:r>
      <w:r>
        <w:t>53</w:t>
      </w:r>
      <w:r>
        <w:rPr>
          <w:rFonts w:hint="eastAsia"/>
        </w:rPr>
        <w:t>元，较前两者有优势，在保证设备稳定高效运行的前提下，该技术是分散治理中治理成本最低的技术。</w:t>
      </w:r>
    </w:p>
    <w:p>
      <w:pPr>
        <w:spacing w:before="156"/>
        <w:ind w:firstLine="480"/>
      </w:pPr>
      <w:r>
        <w:rPr>
          <w:rFonts w:hint="eastAsia"/>
        </w:rPr>
        <w:t>集中式沸石转轮+CO和蜂窝活性炭+CO的单车治理成本相对较低，依次为</w:t>
      </w:r>
      <w:r>
        <w:t>32</w:t>
      </w:r>
      <w:r>
        <w:rPr>
          <w:rFonts w:hint="eastAsia"/>
        </w:rPr>
        <w:t>元和</w:t>
      </w:r>
      <w:r>
        <w:t>31</w:t>
      </w:r>
      <w:r>
        <w:rPr>
          <w:rFonts w:hint="eastAsia"/>
        </w:rPr>
        <w:t>元，设计能力增加治理成本还会进一步下降，反之会显著上升。但是，单喷烤漆房的设计风量一般在1</w:t>
      </w:r>
      <w:r>
        <w:t>0000</w:t>
      </w:r>
      <w:r>
        <w:rPr>
          <w:rFonts w:hint="eastAsia"/>
        </w:rPr>
        <w:t>-</w:t>
      </w:r>
      <w:r>
        <w:t>20000</w:t>
      </w:r>
      <w:r>
        <w:rPr>
          <w:rFonts w:hint="eastAsia"/>
        </w:rPr>
        <w:t>m</w:t>
      </w:r>
      <w:r>
        <w:rPr>
          <w:vertAlign w:val="superscript"/>
        </w:rPr>
        <w:t>3</w:t>
      </w:r>
      <w:r>
        <w:t>/</w:t>
      </w:r>
      <w:r>
        <w:rPr>
          <w:rFonts w:hint="eastAsia"/>
        </w:rPr>
        <w:t>h，不适宜使用沸石转轮+CO和蜂窝活性炭</w:t>
      </w:r>
      <w:r>
        <w:t>+CO</w:t>
      </w:r>
      <w:r>
        <w:rPr>
          <w:rFonts w:hint="eastAsia"/>
        </w:rPr>
        <w:t>。同时，与蜂窝活性炭相比，沸石不存在寿命到期后产生危废的问题，起火风险更低。</w:t>
      </w:r>
    </w:p>
    <w:p>
      <w:pPr>
        <w:spacing w:before="156"/>
        <w:ind w:firstLine="480"/>
      </w:pPr>
      <w:r>
        <w:rPr>
          <w:rFonts w:hint="eastAsia"/>
        </w:rPr>
        <w:t>综上，分散式治理并不是最经济的治理方式；集中式治理适合使用沸石转轮+CO。</w:t>
      </w:r>
    </w:p>
    <w:p>
      <w:pPr>
        <w:spacing w:before="156"/>
        <w:ind w:firstLine="0" w:firstLineChars="0"/>
        <w:jc w:val="center"/>
        <w:rPr>
          <w:b/>
          <w:sz w:val="21"/>
          <w:szCs w:val="21"/>
        </w:rPr>
      </w:pPr>
      <w:r>
        <w:rPr>
          <w:rFonts w:hint="eastAsia"/>
          <w:b/>
          <w:sz w:val="21"/>
          <w:szCs w:val="21"/>
        </w:rPr>
        <w:t>表6-5 运行费用核算表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646"/>
        <w:gridCol w:w="767"/>
        <w:gridCol w:w="873"/>
        <w:gridCol w:w="873"/>
        <w:gridCol w:w="876"/>
        <w:gridCol w:w="1091"/>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05"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核算项目</w:t>
            </w:r>
          </w:p>
        </w:tc>
        <w:tc>
          <w:tcPr>
            <w:tcW w:w="164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集中式</w:t>
            </w:r>
          </w:p>
        </w:tc>
        <w:tc>
          <w:tcPr>
            <w:tcW w:w="28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分散式</w:t>
            </w:r>
          </w:p>
        </w:tc>
        <w:tc>
          <w:tcPr>
            <w:tcW w:w="183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05" w:type="dxa"/>
            <w:gridSpan w:val="2"/>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767"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沸石转轮</w:t>
            </w:r>
            <w:r>
              <w:rPr>
                <w:sz w:val="21"/>
                <w:szCs w:val="21"/>
              </w:rPr>
              <w:t>+CO</w:t>
            </w:r>
          </w:p>
        </w:tc>
        <w:tc>
          <w:tcPr>
            <w:tcW w:w="873"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蜂窝活性炭</w:t>
            </w:r>
            <w:r>
              <w:rPr>
                <w:sz w:val="21"/>
                <w:szCs w:val="21"/>
              </w:rPr>
              <w:t>+CO</w:t>
            </w:r>
          </w:p>
        </w:tc>
        <w:tc>
          <w:tcPr>
            <w:tcW w:w="873"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蜂窝活性炭</w:t>
            </w:r>
            <w:r>
              <w:rPr>
                <w:sz w:val="21"/>
                <w:szCs w:val="21"/>
              </w:rPr>
              <w:t>+CO</w:t>
            </w:r>
          </w:p>
        </w:tc>
        <w:tc>
          <w:tcPr>
            <w:tcW w:w="876"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颗粒活性炭吸附</w:t>
            </w:r>
          </w:p>
        </w:tc>
        <w:tc>
          <w:tcPr>
            <w:tcW w:w="1091"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UV+</w:t>
            </w:r>
            <w:r>
              <w:rPr>
                <w:rFonts w:hint="eastAsia"/>
                <w:sz w:val="21"/>
                <w:szCs w:val="21"/>
              </w:rPr>
              <w:t>颗粒活性炭吸附</w:t>
            </w:r>
          </w:p>
        </w:tc>
        <w:tc>
          <w:tcPr>
            <w:tcW w:w="1837"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设备规模</w:t>
            </w: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喷房数量（个）</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集中式按规范最低6喷房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最低设计处理能力（m³/h）</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72000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72000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12000</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12000</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12000</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溶剂型喷漆房1</w:t>
            </w:r>
            <w:r>
              <w:rPr>
                <w:sz w:val="21"/>
                <w:szCs w:val="21"/>
              </w:rPr>
              <w:t>2000</w:t>
            </w:r>
            <w:r>
              <w:rPr>
                <w:rFonts w:hint="eastAsia"/>
                <w:sz w:val="21"/>
                <w:szCs w:val="21"/>
              </w:rPr>
              <w:t>m</w:t>
            </w:r>
            <w:r>
              <w:rPr>
                <w:sz w:val="21"/>
                <w:szCs w:val="21"/>
              </w:rPr>
              <w:t>3/</w:t>
            </w:r>
            <w:r>
              <w:rPr>
                <w:rFonts w:hint="eastAsia"/>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VOCs</w:t>
            </w:r>
            <w:r>
              <w:rPr>
                <w:rFonts w:hint="eastAsia"/>
                <w:sz w:val="21"/>
                <w:szCs w:val="21"/>
              </w:rPr>
              <w:t>产生量（</w:t>
            </w:r>
            <w:r>
              <w:rPr>
                <w:sz w:val="21"/>
                <w:szCs w:val="21"/>
              </w:rPr>
              <w:t>t</w:t>
            </w:r>
            <w:r>
              <w:rPr>
                <w:rFonts w:hint="eastAsia"/>
                <w:sz w:val="21"/>
                <w:szCs w:val="21"/>
              </w:rPr>
              <w:t>）</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7.2</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7.2</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每个喷房每天8辆、每年工作3</w:t>
            </w:r>
            <w:r>
              <w:rPr>
                <w:sz w:val="21"/>
                <w:szCs w:val="21"/>
              </w:rPr>
              <w:t>00</w:t>
            </w:r>
            <w:r>
              <w:rPr>
                <w:rFonts w:hint="eastAsia"/>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VOCs</w:t>
            </w:r>
            <w:r>
              <w:rPr>
                <w:rFonts w:hint="eastAsia"/>
                <w:sz w:val="21"/>
                <w:szCs w:val="21"/>
              </w:rPr>
              <w:t>去除率（</w:t>
            </w:r>
            <w:r>
              <w:rPr>
                <w:sz w:val="21"/>
                <w:szCs w:val="21"/>
              </w:rPr>
              <w:t>%</w:t>
            </w:r>
            <w:r>
              <w:rPr>
                <w:rFonts w:hint="eastAsia"/>
                <w:sz w:val="21"/>
                <w:szCs w:val="21"/>
              </w:rPr>
              <w:t>）</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60</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15</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15</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总量核算系数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VOCs</w:t>
            </w:r>
            <w:r>
              <w:rPr>
                <w:rFonts w:hint="eastAsia"/>
                <w:sz w:val="21"/>
                <w:szCs w:val="21"/>
              </w:rPr>
              <w:t>去除量（</w:t>
            </w:r>
            <w:r>
              <w:rPr>
                <w:sz w:val="21"/>
                <w:szCs w:val="21"/>
              </w:rPr>
              <w:t>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6.48</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5.76</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0.96</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0.96</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0.96</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一次投资</w:t>
            </w: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设备投资（万元）</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100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20</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设备寿命（万元）</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8</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设备折旧费用（万元）</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6.7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7</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2.5 </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2.4</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按寿命周期1</w:t>
            </w:r>
            <w:r>
              <w:rPr>
                <w:sz w:val="21"/>
                <w:szCs w:val="21"/>
              </w:rPr>
              <w:t>00</w:t>
            </w:r>
            <w:r>
              <w:rPr>
                <w:rFonts w:hint="eastAsia"/>
                <w:sz w:val="21"/>
                <w:szCs w:val="21"/>
              </w:rPr>
              <w:t>%计提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运维费用</w:t>
            </w: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吸附剂采购成本（万元）</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60</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8.4</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1.4</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吸附剂更换周期（年/次）</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0.1</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0.3</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吸附剂全寿命折算费用（万</w:t>
            </w:r>
            <w:r>
              <w:rPr>
                <w:sz w:val="21"/>
                <w:szCs w:val="21"/>
              </w:rPr>
              <w: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12</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13.8</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2.3</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34</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11.3 </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电费（万</w:t>
            </w:r>
            <w:r>
              <w:rPr>
                <w:sz w:val="21"/>
                <w:szCs w:val="21"/>
              </w:rPr>
              <w: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18</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2.5</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3</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催化剂（万</w:t>
            </w:r>
            <w:r>
              <w:rPr>
                <w:sz w:val="21"/>
                <w:szCs w:val="21"/>
              </w:rPr>
              <w: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0</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滤材更换与处置费用（万</w:t>
            </w:r>
            <w:r>
              <w:rPr>
                <w:sz w:val="21"/>
                <w:szCs w:val="21"/>
              </w:rPr>
              <w: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5</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1</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2</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05"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投资和运行费用小计（万</w:t>
            </w:r>
            <w:r>
              <w:rPr>
                <w:sz w:val="21"/>
                <w:szCs w:val="21"/>
              </w:rPr>
              <w:t>/</w:t>
            </w:r>
            <w:r>
              <w:rPr>
                <w:rFonts w:hint="eastAsia"/>
                <w:sz w:val="21"/>
                <w:szCs w:val="21"/>
              </w:rPr>
              <w:t>年）</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45.7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44.8</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12.8 </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39.5</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18.7 </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05"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单位</w:t>
            </w:r>
            <w:r>
              <w:rPr>
                <w:sz w:val="21"/>
                <w:szCs w:val="21"/>
              </w:rPr>
              <w:t>VOCs</w:t>
            </w:r>
            <w:r>
              <w:rPr>
                <w:rFonts w:hint="eastAsia"/>
                <w:sz w:val="21"/>
                <w:szCs w:val="21"/>
              </w:rPr>
              <w:t>治理成本（元</w:t>
            </w:r>
            <w:r>
              <w:rPr>
                <w:sz w:val="21"/>
                <w:szCs w:val="21"/>
              </w:rPr>
              <w:t>/</w:t>
            </w:r>
            <w:r>
              <w:rPr>
                <w:rFonts w:hint="eastAsia"/>
                <w:sz w:val="21"/>
                <w:szCs w:val="21"/>
              </w:rPr>
              <w:t>公斤）</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70.47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77.78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133.33 </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411.46 </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sz w:val="21"/>
                <w:szCs w:val="21"/>
              </w:rPr>
              <w:t xml:space="preserve">195.14 </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05"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rFonts w:hint="eastAsia"/>
                <w:b/>
                <w:sz w:val="21"/>
                <w:szCs w:val="21"/>
              </w:rPr>
              <w:t>单车治理成本（元</w:t>
            </w:r>
            <w:r>
              <w:rPr>
                <w:b/>
                <w:sz w:val="21"/>
                <w:szCs w:val="21"/>
              </w:rPr>
              <w:t>/</w:t>
            </w:r>
            <w:r>
              <w:rPr>
                <w:rFonts w:hint="eastAsia"/>
                <w:b/>
                <w:sz w:val="21"/>
                <w:szCs w:val="21"/>
              </w:rPr>
              <w:t>台车）</w:t>
            </w:r>
          </w:p>
        </w:tc>
        <w:tc>
          <w:tcPr>
            <w:tcW w:w="76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b/>
                <w:sz w:val="21"/>
                <w:szCs w:val="21"/>
              </w:rPr>
              <w:t xml:space="preserve">31.71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b/>
                <w:sz w:val="21"/>
                <w:szCs w:val="21"/>
              </w:rPr>
              <w:t xml:space="preserve">31.11 </w:t>
            </w:r>
          </w:p>
        </w:tc>
        <w:tc>
          <w:tcPr>
            <w:tcW w:w="87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b/>
                <w:sz w:val="21"/>
                <w:szCs w:val="21"/>
              </w:rPr>
              <w:t xml:space="preserve">53.33 </w:t>
            </w:r>
          </w:p>
        </w:tc>
        <w:tc>
          <w:tcPr>
            <w:tcW w:w="87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b/>
                <w:sz w:val="21"/>
                <w:szCs w:val="21"/>
              </w:rPr>
              <w:t xml:space="preserve">164.58 </w:t>
            </w:r>
          </w:p>
        </w:tc>
        <w:tc>
          <w:tcPr>
            <w:tcW w:w="1091"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b/>
                <w:sz w:val="21"/>
                <w:szCs w:val="21"/>
              </w:rPr>
              <w:t xml:space="preserve">78.06 </w:t>
            </w:r>
          </w:p>
        </w:tc>
        <w:tc>
          <w:tcPr>
            <w:tcW w:w="18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b/>
                <w:sz w:val="21"/>
                <w:szCs w:val="21"/>
              </w:rPr>
            </w:pPr>
            <w:r>
              <w:rPr>
                <w:rFonts w:hint="eastAsia"/>
                <w:b/>
                <w:sz w:val="21"/>
                <w:szCs w:val="21"/>
              </w:rPr>
              <w:t>-</w:t>
            </w:r>
          </w:p>
        </w:tc>
      </w:tr>
    </w:tbl>
    <w:p>
      <w:pPr>
        <w:spacing w:before="156"/>
        <w:ind w:firstLine="480"/>
        <w:sectPr>
          <w:footerReference r:id="rId14" w:type="default"/>
          <w:footnotePr>
            <w:numFmt w:val="decimalEnclosedCircleChinese"/>
          </w:footnotePr>
          <w:pgSz w:w="11906" w:h="16838"/>
          <w:pgMar w:top="1440" w:right="1800" w:bottom="1440" w:left="1800" w:header="851" w:footer="992" w:gutter="0"/>
          <w:cols w:space="425" w:num="1"/>
          <w:docGrid w:type="lines" w:linePitch="312" w:charSpace="0"/>
        </w:sectPr>
      </w:pPr>
    </w:p>
    <w:p>
      <w:pPr>
        <w:pStyle w:val="2"/>
        <w:spacing w:before="163" w:after="163"/>
      </w:pPr>
      <w:bookmarkStart w:id="89" w:name="_Toc27660233"/>
      <w:bookmarkStart w:id="90" w:name="_Toc226540459"/>
      <w:r>
        <w:t>标准主要</w:t>
      </w:r>
      <w:r>
        <w:rPr>
          <w:rFonts w:hint="eastAsia"/>
        </w:rPr>
        <w:t>技术</w:t>
      </w:r>
      <w:r>
        <w:t>内容</w:t>
      </w:r>
      <w:bookmarkEnd w:id="89"/>
      <w:bookmarkEnd w:id="90"/>
    </w:p>
    <w:p>
      <w:pPr>
        <w:pStyle w:val="3"/>
        <w:spacing w:before="163" w:after="163"/>
        <w:rPr>
          <w:rFonts w:ascii="Times New Roman" w:hAnsi="Times New Roman" w:cs="Times New Roman"/>
        </w:rPr>
      </w:pPr>
      <w:bookmarkStart w:id="91" w:name="_Toc226540460"/>
      <w:r>
        <w:rPr>
          <w:rFonts w:hint="eastAsia" w:ascii="Times New Roman" w:hAnsi="Times New Roman" w:cs="Times New Roman"/>
        </w:rPr>
        <w:t>标准</w:t>
      </w:r>
      <w:r>
        <w:rPr>
          <w:rFonts w:ascii="Times New Roman" w:hAnsi="Times New Roman" w:cs="Times New Roman"/>
        </w:rPr>
        <w:t>适用范围</w:t>
      </w:r>
      <w:bookmarkEnd w:id="91"/>
    </w:p>
    <w:p>
      <w:pPr>
        <w:ind w:firstLine="480"/>
        <w:rPr>
          <w:rFonts w:cs="Times New Roman"/>
        </w:rPr>
      </w:pPr>
      <w:r>
        <w:rPr>
          <w:rFonts w:hint="eastAsia" w:cs="Times New Roman"/>
        </w:rPr>
        <w:t>本文件规定了汽车维修行业大气污染物排放控制要求、监测要求和实施与监督要求。本文件适用于现有汽车维修企业的大气污染物排放管理，以及汽车维修企业建设项目的环境影响评价、环境保护设施设计、竣工环境保护设施验收、排污许可证核发及其投产后的大气污染物排放管理。</w:t>
      </w:r>
    </w:p>
    <w:p>
      <w:pPr>
        <w:ind w:firstLine="480"/>
        <w:rPr>
          <w:rFonts w:cs="Times New Roman"/>
        </w:rPr>
      </w:pPr>
      <w:r>
        <w:rPr>
          <w:rFonts w:hint="eastAsia" w:cs="Times New Roman"/>
        </w:rPr>
        <w:t>本文件在定义中明确了汽车维修企业的范围，本文件中的汽车维修企业指从事汽车修理、维护和保养服务的企业。本文件中汽车维修企业指符合GB/T 16739.1或GB/T 16739.2的要求并含有涂装工序的企业或业户，不包括从事油罐车、化学品运输车等危险品运输车辆维修的企业。</w:t>
      </w:r>
    </w:p>
    <w:p>
      <w:pPr>
        <w:pStyle w:val="3"/>
        <w:spacing w:before="163" w:after="163"/>
        <w:rPr>
          <w:rFonts w:ascii="Times New Roman" w:hAnsi="Times New Roman" w:cs="Times New Roman"/>
        </w:rPr>
      </w:pPr>
      <w:bookmarkStart w:id="92" w:name="_Toc226540461"/>
      <w:r>
        <w:rPr>
          <w:rFonts w:hint="eastAsia" w:ascii="Times New Roman" w:hAnsi="Times New Roman" w:cs="Times New Roman"/>
        </w:rPr>
        <w:t>含VOCs原辅材料</w:t>
      </w:r>
      <w:r>
        <w:rPr>
          <w:rFonts w:ascii="Times New Roman" w:hAnsi="Times New Roman" w:cs="Times New Roman"/>
        </w:rPr>
        <w:t>要求</w:t>
      </w:r>
      <w:bookmarkEnd w:id="92"/>
    </w:p>
    <w:p>
      <w:pPr>
        <w:ind w:firstLine="480"/>
        <w:rPr>
          <w:rFonts w:cs="Times New Roman"/>
        </w:rPr>
      </w:pPr>
      <w:r>
        <w:rPr>
          <w:rFonts w:hint="eastAsia" w:cs="Times New Roman"/>
        </w:rPr>
        <w:t>草案明确了汽车维修企业使用的涂料和清洗剂的含量限值及测定要求。具体如：</w:t>
      </w:r>
    </w:p>
    <w:p>
      <w:pPr>
        <w:ind w:firstLine="480"/>
        <w:rPr>
          <w:rFonts w:cs="Times New Roman"/>
        </w:rPr>
      </w:pPr>
      <w:r>
        <w:rPr>
          <w:rFonts w:hint="eastAsia" w:cs="Times New Roman"/>
        </w:rPr>
        <w:t>（1）汽车维修过程中使用的处于施工状态下涂料中VOCs含量限值和测试方法应符合GB/T 38597规定的要求，GB/T 38597中未做规定的，应符合GB 24409规定的要求。</w:t>
      </w:r>
    </w:p>
    <w:p>
      <w:pPr>
        <w:ind w:firstLine="480"/>
        <w:rPr>
          <w:rFonts w:cs="Times New Roman"/>
        </w:rPr>
      </w:pPr>
      <w:r>
        <w:rPr>
          <w:rFonts w:hint="eastAsia" w:cs="Times New Roman"/>
        </w:rPr>
        <w:t>（2）溶剂型哑光清漆[光泽（60°）≤60单位值]、溶剂型底色漆等涂料产品，目前暂无低VOCs含量的溶剂型涂料产品，但考虑到该产品在溶剂型涂层体系的配套性需求是必不可少的，VOCs含量的限量值应符合相应产品的强制性国家标准中VOCs项目的技术要求。。</w:t>
      </w:r>
    </w:p>
    <w:p>
      <w:pPr>
        <w:ind w:firstLine="480"/>
        <w:rPr>
          <w:rFonts w:cs="Times New Roman"/>
        </w:rPr>
      </w:pPr>
      <w:r>
        <w:rPr>
          <w:rFonts w:hint="eastAsia" w:cs="Times New Roman"/>
        </w:rPr>
        <w:t>（3）当涂料产品适用于多种场合时，按最严格的限量值执行。</w:t>
      </w:r>
    </w:p>
    <w:p>
      <w:pPr>
        <w:ind w:firstLine="480"/>
        <w:rPr>
          <w:rFonts w:cs="Times New Roman"/>
        </w:rPr>
      </w:pPr>
      <w:r>
        <w:rPr>
          <w:rFonts w:hint="eastAsia" w:cs="Times New Roman"/>
        </w:rPr>
        <w:t>（4）汽车维过程中修使用的清洗剂VOCs含量限值和测试方法应符合GB 38508规定的要求。有</w:t>
      </w:r>
      <w:r>
        <w:rPr>
          <w:rFonts w:cs="Times New Roman"/>
        </w:rPr>
        <w:t>组织排放</w:t>
      </w:r>
      <w:r>
        <w:rPr>
          <w:rFonts w:hint="eastAsia" w:cs="Times New Roman"/>
        </w:rPr>
        <w:t>控制</w:t>
      </w:r>
      <w:r>
        <w:rPr>
          <w:rFonts w:cs="Times New Roman"/>
        </w:rPr>
        <w:t>要求</w:t>
      </w:r>
    </w:p>
    <w:p>
      <w:pPr>
        <w:pStyle w:val="3"/>
        <w:spacing w:before="163" w:after="163"/>
        <w:rPr>
          <w:rFonts w:ascii="Times New Roman" w:hAnsi="Times New Roman" w:cs="Times New Roman"/>
        </w:rPr>
      </w:pPr>
      <w:bookmarkStart w:id="93" w:name="_Toc226540462"/>
      <w:r>
        <w:rPr>
          <w:rFonts w:hint="eastAsia" w:ascii="Times New Roman" w:hAnsi="Times New Roman" w:cs="Times New Roman"/>
        </w:rPr>
        <w:t>污染物有组织排放限值</w:t>
      </w:r>
      <w:bookmarkEnd w:id="93"/>
    </w:p>
    <w:p>
      <w:pPr>
        <w:pStyle w:val="4"/>
        <w:spacing w:before="163" w:after="163"/>
      </w:pPr>
      <w:bookmarkStart w:id="94" w:name="_Toc226540463"/>
      <w:r>
        <w:rPr>
          <w:rFonts w:hint="eastAsia"/>
        </w:rPr>
        <w:t>污染物有组织排放限值要求及其确定</w:t>
      </w:r>
      <w:bookmarkEnd w:id="94"/>
    </w:p>
    <w:p>
      <w:pPr>
        <w:ind w:firstLine="480"/>
      </w:pPr>
      <w:r>
        <w:rPr>
          <w:rFonts w:hint="eastAsia"/>
        </w:rPr>
        <w:t>本草案提出汽车维修企业车间或生产设施排气筒的大气污染物有组织排放限值如下表所示。</w:t>
      </w:r>
    </w:p>
    <w:p>
      <w:pPr>
        <w:ind w:firstLine="0" w:firstLineChars="0"/>
        <w:jc w:val="center"/>
        <w:rPr>
          <w:b/>
          <w:sz w:val="21"/>
          <w:szCs w:val="21"/>
        </w:rPr>
      </w:pPr>
      <w:r>
        <w:rPr>
          <w:rFonts w:hint="eastAsia"/>
          <w:b/>
          <w:sz w:val="21"/>
          <w:szCs w:val="21"/>
        </w:rPr>
        <w:t>表7-1 大气污染物有组织排放限值</w:t>
      </w:r>
    </w:p>
    <w:p>
      <w:pPr>
        <w:ind w:firstLine="0" w:firstLineChars="0"/>
        <w:jc w:val="right"/>
        <w:rPr>
          <w:rFonts w:hint="eastAsia"/>
          <w:b/>
          <w:sz w:val="21"/>
          <w:szCs w:val="21"/>
        </w:rPr>
      </w:pPr>
      <w:r>
        <w:rPr>
          <w:rFonts w:hint="eastAsia"/>
        </w:rPr>
        <w:t>单位：</w:t>
      </w:r>
      <w:r>
        <w:t>mg/m</w:t>
      </w:r>
      <w:r>
        <w:rPr>
          <w:vertAlign w:val="superscript"/>
        </w:rPr>
        <w:t>3</w:t>
      </w:r>
    </w:p>
    <w:tbl>
      <w:tblPr>
        <w:tblStyle w:val="97"/>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8"/>
        <w:gridCol w:w="3363"/>
        <w:gridCol w:w="3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tblHeader/>
          <w:jc w:val="center"/>
        </w:trPr>
        <w:tc>
          <w:tcPr>
            <w:tcW w:w="1798" w:type="dxa"/>
            <w:vAlign w:val="center"/>
          </w:tcPr>
          <w:p>
            <w:pPr>
              <w:keepNext/>
              <w:spacing w:line="240" w:lineRule="auto"/>
              <w:ind w:firstLine="0" w:firstLineChars="0"/>
              <w:jc w:val="center"/>
              <w:rPr>
                <w:rFonts w:ascii="Times New Roman"/>
              </w:rPr>
            </w:pPr>
            <w:r>
              <w:rPr>
                <w:rFonts w:ascii="Times New Roman"/>
              </w:rPr>
              <w:t>污染物项目</w:t>
            </w:r>
          </w:p>
        </w:tc>
        <w:tc>
          <w:tcPr>
            <w:tcW w:w="3363" w:type="dxa"/>
            <w:vAlign w:val="center"/>
          </w:tcPr>
          <w:p>
            <w:pPr>
              <w:keepNext/>
              <w:spacing w:line="240" w:lineRule="auto"/>
              <w:ind w:firstLine="0" w:firstLineChars="0"/>
              <w:jc w:val="center"/>
              <w:rPr>
                <w:rFonts w:ascii="Times New Roman"/>
              </w:rPr>
            </w:pPr>
            <w:r>
              <w:rPr>
                <w:rFonts w:ascii="Times New Roman"/>
              </w:rPr>
              <w:t>排放限值</w:t>
            </w:r>
          </w:p>
        </w:tc>
        <w:tc>
          <w:tcPr>
            <w:tcW w:w="3361" w:type="dxa"/>
            <w:vAlign w:val="center"/>
          </w:tcPr>
          <w:p>
            <w:pPr>
              <w:keepNext/>
              <w:spacing w:line="240" w:lineRule="auto"/>
              <w:ind w:firstLine="0" w:firstLineChars="0"/>
              <w:jc w:val="center"/>
              <w:rPr>
                <w:rFonts w:ascii="Times New Roman"/>
              </w:rPr>
            </w:pPr>
            <w:r>
              <w:rPr>
                <w:rFonts w:hint="eastAsia" w:ascii="Times New Roman"/>
              </w:rPr>
              <w:t>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jc w:val="center"/>
        </w:trPr>
        <w:tc>
          <w:tcPr>
            <w:tcW w:w="1798" w:type="dxa"/>
            <w:vAlign w:val="center"/>
          </w:tcPr>
          <w:p>
            <w:pPr>
              <w:keepNext/>
              <w:spacing w:line="240" w:lineRule="auto"/>
              <w:ind w:firstLine="0" w:firstLineChars="0"/>
              <w:jc w:val="center"/>
              <w:rPr>
                <w:rFonts w:ascii="Times New Roman"/>
              </w:rPr>
            </w:pPr>
            <w:r>
              <w:rPr>
                <w:rFonts w:ascii="Times New Roman"/>
              </w:rPr>
              <w:t>苯</w:t>
            </w:r>
          </w:p>
        </w:tc>
        <w:tc>
          <w:tcPr>
            <w:tcW w:w="3363" w:type="dxa"/>
            <w:vAlign w:val="center"/>
          </w:tcPr>
          <w:p>
            <w:pPr>
              <w:keepNext/>
              <w:spacing w:line="240" w:lineRule="auto"/>
              <w:ind w:firstLine="0" w:firstLineChars="0"/>
              <w:jc w:val="center"/>
              <w:rPr>
                <w:rFonts w:ascii="Times New Roman"/>
              </w:rPr>
            </w:pPr>
            <w:r>
              <w:rPr>
                <w:rFonts w:ascii="Times New Roman"/>
              </w:rPr>
              <w:t>0.5</w:t>
            </w:r>
          </w:p>
        </w:tc>
        <w:tc>
          <w:tcPr>
            <w:tcW w:w="3361" w:type="dxa"/>
            <w:vMerge w:val="restart"/>
            <w:vAlign w:val="center"/>
          </w:tcPr>
          <w:p>
            <w:pPr>
              <w:keepNext/>
              <w:spacing w:line="240" w:lineRule="auto"/>
              <w:ind w:firstLine="0" w:firstLineChars="0"/>
              <w:jc w:val="center"/>
              <w:rPr>
                <w:rFonts w:ascii="Times New Roman"/>
              </w:rPr>
            </w:pPr>
            <w:r>
              <w:rPr>
                <w:rFonts w:hint="eastAsia" w:ascii="Times New Roman"/>
              </w:rPr>
              <w:t>车间或生产设施排气筒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jc w:val="center"/>
        </w:trPr>
        <w:tc>
          <w:tcPr>
            <w:tcW w:w="1798" w:type="dxa"/>
            <w:vAlign w:val="center"/>
          </w:tcPr>
          <w:p>
            <w:pPr>
              <w:keepNext/>
              <w:spacing w:line="240" w:lineRule="auto"/>
              <w:ind w:firstLine="0" w:firstLineChars="0"/>
              <w:jc w:val="center"/>
              <w:rPr>
                <w:rFonts w:ascii="Times New Roman"/>
              </w:rPr>
            </w:pPr>
            <w:r>
              <w:rPr>
                <w:rFonts w:ascii="Times New Roman"/>
              </w:rPr>
              <w:t>苯系物</w:t>
            </w:r>
          </w:p>
        </w:tc>
        <w:tc>
          <w:tcPr>
            <w:tcW w:w="3363" w:type="dxa"/>
            <w:vAlign w:val="center"/>
          </w:tcPr>
          <w:p>
            <w:pPr>
              <w:keepNext/>
              <w:spacing w:line="240" w:lineRule="auto"/>
              <w:ind w:firstLine="0" w:firstLineChars="0"/>
              <w:jc w:val="center"/>
              <w:rPr>
                <w:rFonts w:ascii="Times New Roman"/>
              </w:rPr>
            </w:pPr>
            <w:r>
              <w:rPr>
                <w:rFonts w:ascii="Times New Roman"/>
              </w:rPr>
              <w:t>10</w:t>
            </w:r>
          </w:p>
        </w:tc>
        <w:tc>
          <w:tcPr>
            <w:tcW w:w="3361" w:type="dxa"/>
            <w:vMerge w:val="continue"/>
            <w:vAlign w:val="center"/>
          </w:tcPr>
          <w:p>
            <w:pPr>
              <w:keepNext/>
              <w:spacing w:line="240" w:lineRule="auto"/>
              <w:ind w:firstLine="0" w:firstLineChars="0"/>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jc w:val="center"/>
        </w:trPr>
        <w:tc>
          <w:tcPr>
            <w:tcW w:w="1798" w:type="dxa"/>
            <w:vAlign w:val="center"/>
          </w:tcPr>
          <w:p>
            <w:pPr>
              <w:keepNext/>
              <w:spacing w:line="240" w:lineRule="auto"/>
              <w:ind w:firstLine="0" w:firstLineChars="0"/>
              <w:jc w:val="center"/>
              <w:rPr>
                <w:rFonts w:ascii="Times New Roman"/>
              </w:rPr>
            </w:pPr>
            <w:r>
              <w:rPr>
                <w:rFonts w:hint="eastAsia" w:ascii="Times New Roman"/>
              </w:rPr>
              <w:t>NMHC</w:t>
            </w:r>
          </w:p>
        </w:tc>
        <w:tc>
          <w:tcPr>
            <w:tcW w:w="3363" w:type="dxa"/>
            <w:vAlign w:val="center"/>
          </w:tcPr>
          <w:p>
            <w:pPr>
              <w:keepNext/>
              <w:spacing w:line="240" w:lineRule="auto"/>
              <w:ind w:firstLine="0" w:firstLineChars="0"/>
              <w:jc w:val="center"/>
              <w:rPr>
                <w:rFonts w:ascii="Times New Roman"/>
              </w:rPr>
            </w:pPr>
            <w:r>
              <w:rPr>
                <w:rFonts w:ascii="Times New Roman"/>
              </w:rPr>
              <w:t>20</w:t>
            </w:r>
          </w:p>
        </w:tc>
        <w:tc>
          <w:tcPr>
            <w:tcW w:w="3361" w:type="dxa"/>
            <w:vMerge w:val="continue"/>
            <w:vAlign w:val="center"/>
          </w:tcPr>
          <w:p>
            <w:pPr>
              <w:keepNext/>
              <w:spacing w:line="240" w:lineRule="auto"/>
              <w:ind w:firstLine="0" w:firstLineChars="0"/>
              <w:jc w:val="center"/>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1798" w:type="dxa"/>
            <w:vAlign w:val="center"/>
          </w:tcPr>
          <w:p>
            <w:pPr>
              <w:keepNext/>
              <w:spacing w:line="240" w:lineRule="auto"/>
              <w:ind w:firstLine="0" w:firstLineChars="0"/>
              <w:jc w:val="center"/>
              <w:rPr>
                <w:rFonts w:ascii="Times New Roman"/>
              </w:rPr>
            </w:pPr>
            <w:r>
              <w:rPr>
                <w:rFonts w:ascii="Times New Roman"/>
              </w:rPr>
              <w:t>颗粒物</w:t>
            </w:r>
          </w:p>
        </w:tc>
        <w:tc>
          <w:tcPr>
            <w:tcW w:w="3363" w:type="dxa"/>
            <w:vAlign w:val="center"/>
          </w:tcPr>
          <w:p>
            <w:pPr>
              <w:keepNext/>
              <w:spacing w:line="240" w:lineRule="auto"/>
              <w:ind w:firstLine="0" w:firstLineChars="0"/>
              <w:jc w:val="center"/>
              <w:rPr>
                <w:rFonts w:ascii="Times New Roman"/>
              </w:rPr>
            </w:pPr>
            <w:r>
              <w:rPr>
                <w:rFonts w:ascii="Times New Roman"/>
              </w:rPr>
              <w:t>10</w:t>
            </w:r>
          </w:p>
        </w:tc>
        <w:tc>
          <w:tcPr>
            <w:tcW w:w="3361" w:type="dxa"/>
            <w:vMerge w:val="continue"/>
            <w:vAlign w:val="center"/>
          </w:tcPr>
          <w:p>
            <w:pPr>
              <w:keepNext/>
              <w:spacing w:line="240" w:lineRule="auto"/>
              <w:ind w:firstLine="0" w:firstLineChars="0"/>
              <w:jc w:val="center"/>
              <w:rPr>
                <w:rFonts w:ascii="Times New Roman"/>
              </w:rPr>
            </w:pPr>
          </w:p>
        </w:tc>
      </w:tr>
    </w:tbl>
    <w:p>
      <w:pPr>
        <w:ind w:firstLine="480"/>
      </w:pPr>
      <w:r>
        <w:rPr>
          <w:rFonts w:hint="eastAsia"/>
        </w:rPr>
        <w:t>苯具有强致癌性，是国际上公认的致癌物质和国家优先控制名单上的物质，因此在本标准控制指标筛选中优先选择此物种进行排放浓度监测；苯系物的光化学活性强，对臭氧生成贡献极高，同时对人体神经系统和血液系统具有较强危害，汽车维修工艺过程中苯系物排放量大，主要包含苯、甲苯、二甲苯、三甲苯、乙苯、苯乙烯等；非甲烷总烃作为综合性指标，易监测，能反映挥发性有机物排放水平；汽车维修行业喷涂车间通常含有一定粘性漆雾和粉尘等杂质，主要来源于喷涂修复汽车表面过程中。</w:t>
      </w:r>
    </w:p>
    <w:p>
      <w:pPr>
        <w:pStyle w:val="4"/>
        <w:spacing w:before="163" w:after="163"/>
      </w:pPr>
      <w:bookmarkStart w:id="95" w:name="_Toc226540464"/>
      <w:r>
        <w:rPr>
          <w:rFonts w:hint="eastAsia"/>
        </w:rPr>
        <w:t>VOCs治理设施控制要求</w:t>
      </w:r>
      <w:bookmarkEnd w:id="95"/>
    </w:p>
    <w:p>
      <w:pPr>
        <w:pStyle w:val="5"/>
        <w:numPr>
          <w:ilvl w:val="0"/>
          <w:numId w:val="0"/>
        </w:numPr>
        <w:spacing w:before="163"/>
      </w:pPr>
      <w:bookmarkStart w:id="96" w:name="_Toc226540465"/>
      <w:r>
        <w:rPr>
          <w:rFonts w:hint="eastAsia" w:cs="Times New Roman"/>
          <w:szCs w:val="21"/>
        </w:rPr>
        <w:t>（1）</w:t>
      </w:r>
      <w:r>
        <w:rPr>
          <w:rFonts w:hint="eastAsia"/>
        </w:rPr>
        <w:t>处理效率</w:t>
      </w:r>
      <w:bookmarkEnd w:id="96"/>
    </w:p>
    <w:p>
      <w:pPr>
        <w:ind w:firstLine="480"/>
      </w:pPr>
      <w:r>
        <w:rPr>
          <w:rFonts w:hint="eastAsia"/>
        </w:rPr>
        <w:t>车间或生产设施排气中NMHC初始排放速率≥2 kg/h（其他区≥3kg/h）时，VOCs处理设施对NMHC的处理效率不应低于80%；采用的全部原辅材料均符合国家有关低VOCs含量产品规定的除外。</w:t>
      </w:r>
    </w:p>
    <w:p>
      <w:pPr>
        <w:ind w:firstLine="480"/>
      </w:pPr>
      <w:r>
        <w:t>VOCs</w:t>
      </w:r>
      <w:r>
        <w:rPr>
          <w:rFonts w:hint="eastAsia"/>
          <w:lang w:val="zh-CN"/>
        </w:rPr>
        <w:t>污染处理设施对</w:t>
      </w:r>
      <w:r>
        <w:rPr>
          <w:rFonts w:hint="eastAsia"/>
        </w:rPr>
        <w:t>NMHC</w:t>
      </w:r>
      <w:r>
        <w:rPr>
          <w:rFonts w:hint="eastAsia"/>
          <w:lang w:val="zh-CN"/>
        </w:rPr>
        <w:t>处理效率按照公式（1）计算。当污染处理设施为多级串联处理工艺时，处理效率为多级处理的总效率，即以第一级进口为“处理前”，最后一级出口为“处理后”进行计算；当污染处理设施处理多个来源的废气时，应以各来源废气进入处理设施的污染物总量为“处理前”，以污染处理设施最终出口为“处理后”进行计算；当污染处理设施有多个排放出口，则以各排放出口的污染物总量为“处理后”</w:t>
      </w:r>
      <w:r>
        <w:rPr>
          <w:rFonts w:hint="eastAsia"/>
        </w:rPr>
        <w:t>。</w:t>
      </w:r>
    </w:p>
    <w:p>
      <w:pPr>
        <w:keepNext/>
        <w:spacing w:line="360" w:lineRule="auto"/>
        <w:ind w:firstLine="480"/>
        <w:jc w:val="left"/>
      </w:pPr>
      <m:oMath>
        <m:r>
          <m:rPr>
            <m:nor/>
            <m:sty m:val="p"/>
          </m:rPr>
          <w:rPr>
            <w:rFonts w:ascii="Cambria Math" w:hAnsi="Cambria Math" w:eastAsiaTheme="minorEastAsia"/>
            <w:b w:val="0"/>
            <w:i w:val="0"/>
          </w:rPr>
          <m:t>η=</m:t>
        </m:r>
        <m:r>
          <m:rPr>
            <m:nor/>
            <m:sty m:val="p"/>
          </m:rPr>
          <w:rPr>
            <w:rFonts w:hint="eastAsia" w:ascii="Cambria Math" w:hAnsi="Cambria Math" w:eastAsiaTheme="minorEastAsia"/>
            <w:b w:val="0"/>
            <w:i w:val="0"/>
          </w:rPr>
          <m:t>(</m:t>
        </m:r>
        <m:f>
          <m:fPr>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G</m:t>
                </m:r>
                <m:ctrlPr>
                  <w:rPr>
                    <w:rFonts w:ascii="Cambria Math" w:hAnsi="Cambria Math" w:eastAsiaTheme="minorEastAsia"/>
                    <w:i/>
                  </w:rPr>
                </m:ctrlPr>
              </m:e>
              <m:sub>
                <m:r>
                  <w:rPr>
                    <w:rFonts w:hint="eastAsia" w:ascii="Cambria Math" w:hAnsi="Cambria Math" w:eastAsiaTheme="minorEastAsia"/>
                  </w:rPr>
                  <m:t>处理前</m:t>
                </m:r>
                <m:ctrlPr>
                  <w:rPr>
                    <w:rFonts w:ascii="Cambria Math" w:hAnsi="Cambria Math" w:eastAsiaTheme="minorEastAsia"/>
                    <w:i/>
                  </w:rPr>
                </m:ctrlPr>
              </m:sub>
            </m:sSub>
            <m:r>
              <w:rPr>
                <w:rFonts w:hint="eastAsia" w:ascii="Cambria Math" w:hAnsi="Cambria Math" w:eastAsia="微软雅黑" w:cs="微软雅黑"/>
              </w:rPr>
              <m:t>−</m:t>
            </m:r>
            <m:sSub>
              <m:sSubPr>
                <m:ctrlPr>
                  <w:rPr>
                    <w:rFonts w:ascii="Cambria Math" w:hAnsi="Cambria Math" w:eastAsiaTheme="minorEastAsia"/>
                    <w:i/>
                  </w:rPr>
                </m:ctrlPr>
              </m:sSubPr>
              <m:e>
                <m:r>
                  <w:rPr>
                    <w:rFonts w:ascii="Cambria Math" w:hAnsi="Cambria Math" w:eastAsiaTheme="minorEastAsia"/>
                  </w:rPr>
                  <m:t>G</m:t>
                </m:r>
                <m:ctrlPr>
                  <w:rPr>
                    <w:rFonts w:ascii="Cambria Math" w:hAnsi="Cambria Math" w:eastAsiaTheme="minorEastAsia"/>
                    <w:i/>
                  </w:rPr>
                </m:ctrlPr>
              </m:e>
              <m:sub>
                <m:r>
                  <w:rPr>
                    <w:rFonts w:hint="eastAsia" w:ascii="Cambria Math" w:hAnsi="Cambria Math" w:eastAsiaTheme="minorEastAsia"/>
                  </w:rPr>
                  <m:t>处理后</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G</m:t>
                </m:r>
                <m:ctrlPr>
                  <w:rPr>
                    <w:rFonts w:ascii="Cambria Math" w:hAnsi="Cambria Math" w:eastAsiaTheme="minorEastAsia"/>
                    <w:i/>
                  </w:rPr>
                </m:ctrlPr>
              </m:e>
              <m:sub>
                <m:r>
                  <w:rPr>
                    <w:rFonts w:hint="eastAsia" w:ascii="Cambria Math" w:hAnsi="Cambria Math" w:eastAsiaTheme="minorEastAsia"/>
                  </w:rPr>
                  <m:t>处理前</m:t>
                </m:r>
                <m:ctrlPr>
                  <w:rPr>
                    <w:rFonts w:ascii="Cambria Math" w:hAnsi="Cambria Math" w:eastAsiaTheme="minorEastAsia"/>
                    <w:i/>
                  </w:rPr>
                </m:ctrlPr>
              </m:sub>
            </m:sSub>
            <m:ctrlPr>
              <w:rPr>
                <w:rFonts w:ascii="Cambria Math" w:hAnsi="Cambria Math" w:eastAsiaTheme="minorEastAsia"/>
                <w:i/>
              </w:rPr>
            </m:ctrlPr>
          </m:den>
        </m:f>
        <m:r>
          <m:rPr>
            <m:nor/>
            <m:sty m:val="p"/>
          </m:rPr>
          <w:rPr>
            <w:rFonts w:hint="eastAsia" w:ascii="Cambria Math" w:hAnsi="Cambria Math" w:eastAsiaTheme="minorEastAsia"/>
            <w:b w:val="0"/>
            <w:i w:val="0"/>
          </w:rPr>
          <m:t>)</m:t>
        </m:r>
        <m:r>
          <m:rPr>
            <m:nor/>
            <m:sty m:val="p"/>
          </m:rPr>
          <w:rPr>
            <w:rFonts w:ascii="Cambria Math" w:hAnsi="Cambria Math" w:eastAsiaTheme="minorEastAsia"/>
            <w:b w:val="0"/>
            <w:i w:val="0"/>
          </w:rPr>
          <m:t>×</m:t>
        </m:r>
        <m:r>
          <m:rPr>
            <m:nor/>
            <m:sty m:val="p"/>
          </m:rPr>
          <w:rPr>
            <w:rFonts w:hint="eastAsia" w:ascii="Cambria Math" w:hAnsi="Cambria Math" w:eastAsiaTheme="minorEastAsia"/>
            <w:b w:val="0"/>
            <w:i w:val="0"/>
          </w:rPr>
          <m:t>100%=</m:t>
        </m:r>
        <m:f>
          <m:fPr>
            <m:ctrlPr>
              <w:rPr>
                <w:rFonts w:ascii="Cambria Math" w:hAnsi="Cambria Math" w:eastAsiaTheme="minorEastAsia"/>
                <w:lang w:val="zh-CN"/>
              </w:rPr>
            </m:ctrlPr>
          </m:fPr>
          <m:num>
            <m:sSub>
              <m:sSubPr>
                <m:ctrlPr>
                  <w:rPr>
                    <w:rFonts w:ascii="Cambria Math" w:hAnsi="Cambria Math" w:eastAsiaTheme="minorEastAsia"/>
                    <w:i/>
                    <w:lang w:val="zh-CN"/>
                  </w:rPr>
                </m:ctrlPr>
              </m:sSubPr>
              <m:e>
                <m:r>
                  <w:rPr>
                    <w:rFonts w:ascii="Cambria Math" w:hAnsi="Cambria Math" w:eastAsiaTheme="minorEastAsia"/>
                    <w:lang w:val="zh-CN"/>
                  </w:rPr>
                  <m:t>C</m:t>
                </m:r>
                <m:ctrlPr>
                  <w:rPr>
                    <w:rFonts w:ascii="Cambria Math" w:hAnsi="Cambria Math" w:eastAsiaTheme="minorEastAsia"/>
                    <w:i/>
                    <w:lang w:val="zh-CN"/>
                  </w:rPr>
                </m:ctrlPr>
              </m:e>
              <m:sub>
                <m:r>
                  <w:rPr>
                    <w:rFonts w:hint="eastAsia" w:ascii="Cambria Math" w:hAnsi="Cambria Math" w:eastAsiaTheme="minorEastAsia"/>
                    <w:lang w:val="zh-CN"/>
                  </w:rPr>
                  <m:t>处理前</m:t>
                </m:r>
                <m:ctrlPr>
                  <w:rPr>
                    <w:rFonts w:ascii="Cambria Math" w:hAnsi="Cambria Math" w:eastAsiaTheme="minorEastAsia"/>
                    <w:i/>
                    <w:lang w:val="zh-CN"/>
                  </w:rPr>
                </m:ctrlPr>
              </m:sub>
            </m:sSub>
            <m:r>
              <w:rPr>
                <w:rFonts w:ascii="Cambria Math" w:hAnsi="Cambria Math" w:eastAsiaTheme="minorEastAsia"/>
              </w:rPr>
              <m:t>×</m:t>
            </m:r>
            <m:sSub>
              <m:sSubPr>
                <m:ctrlPr>
                  <w:rPr>
                    <w:rFonts w:ascii="Cambria Math" w:hAnsi="Cambria Math" w:eastAsiaTheme="minorEastAsia"/>
                    <w:i/>
                    <w:lang w:val="zh-CN"/>
                  </w:rPr>
                </m:ctrlPr>
              </m:sSubPr>
              <m:e>
                <m:r>
                  <w:rPr>
                    <w:rFonts w:ascii="Cambria Math" w:hAnsi="Cambria Math" w:eastAsiaTheme="minorEastAsia"/>
                    <w:lang w:val="zh-CN"/>
                  </w:rPr>
                  <m:t>Q</m:t>
                </m:r>
                <m:ctrlPr>
                  <w:rPr>
                    <w:rFonts w:ascii="Cambria Math" w:hAnsi="Cambria Math" w:eastAsiaTheme="minorEastAsia"/>
                    <w:i/>
                    <w:lang w:val="zh-CN"/>
                  </w:rPr>
                </m:ctrlPr>
              </m:e>
              <m:sub>
                <m:r>
                  <w:rPr>
                    <w:rFonts w:hint="eastAsia" w:ascii="Cambria Math" w:hAnsi="Cambria Math" w:eastAsiaTheme="minorEastAsia"/>
                    <w:lang w:val="zh-CN"/>
                  </w:rPr>
                  <m:t>处理前</m:t>
                </m:r>
                <m:ctrlPr>
                  <w:rPr>
                    <w:rFonts w:ascii="Cambria Math" w:hAnsi="Cambria Math" w:eastAsiaTheme="minorEastAsia"/>
                    <w:i/>
                    <w:lang w:val="zh-CN"/>
                  </w:rPr>
                </m:ctrlPr>
              </m:sub>
            </m:sSub>
            <m:r>
              <w:rPr>
                <w:rFonts w:hint="eastAsia"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C</m:t>
                </m:r>
                <m:ctrlPr>
                  <w:rPr>
                    <w:rFonts w:ascii="Cambria Math" w:hAnsi="Cambria Math" w:eastAsiaTheme="minorEastAsia"/>
                    <w:i/>
                  </w:rPr>
                </m:ctrlPr>
              </m:e>
              <m:sub>
                <m:r>
                  <w:rPr>
                    <w:rFonts w:hint="eastAsia" w:ascii="Cambria Math" w:hAnsi="Cambria Math" w:eastAsiaTheme="minorEastAsia"/>
                  </w:rPr>
                  <m:t>处理后</m:t>
                </m:r>
                <m:ctrlPr>
                  <w:rPr>
                    <w:rFonts w:ascii="Cambria Math" w:hAnsi="Cambria Math" w:eastAsiaTheme="minorEastAsia"/>
                    <w:i/>
                  </w:rPr>
                </m:ctrlPr>
              </m:sub>
            </m:sSub>
            <m:sSub>
              <m:sSubPr>
                <m:ctrlPr>
                  <w:rPr>
                    <w:rFonts w:ascii="Cambria Math" w:hAnsi="Cambria Math" w:eastAsiaTheme="minorEastAsia"/>
                    <w:i/>
                    <w:iCs/>
                    <w:lang w:val="zh-CN"/>
                  </w:rPr>
                </m:ctrlPr>
              </m:sSubPr>
              <m:e>
                <m:r>
                  <w:rPr>
                    <w:rFonts w:ascii="Cambria Math" w:hAnsi="Cambria Math" w:eastAsiaTheme="minorEastAsia"/>
                  </w:rPr>
                  <m:t>×</m:t>
                </m:r>
                <m:r>
                  <w:rPr>
                    <w:rFonts w:ascii="Cambria Math" w:hAnsi="Cambria Math" w:eastAsiaTheme="minorEastAsia"/>
                    <w:lang w:val="zh-CN"/>
                  </w:rPr>
                  <m:t>Q</m:t>
                </m:r>
                <m:ctrlPr>
                  <w:rPr>
                    <w:rFonts w:ascii="Cambria Math" w:hAnsi="Cambria Math" w:eastAsiaTheme="minorEastAsia"/>
                    <w:i/>
                    <w:iCs/>
                    <w:lang w:val="zh-CN"/>
                  </w:rPr>
                </m:ctrlPr>
              </m:e>
              <m:sub>
                <m:r>
                  <w:rPr>
                    <w:rFonts w:hint="eastAsia" w:ascii="Cambria Math" w:hAnsi="Cambria Math" w:eastAsiaTheme="minorEastAsia"/>
                    <w:lang w:val="zh-CN"/>
                  </w:rPr>
                  <m:t>处理后</m:t>
                </m:r>
                <m:ctrlPr>
                  <w:rPr>
                    <w:rFonts w:ascii="Cambria Math" w:hAnsi="Cambria Math" w:eastAsiaTheme="minorEastAsia"/>
                    <w:i/>
                    <w:iCs/>
                    <w:lang w:val="zh-CN"/>
                  </w:rPr>
                </m:ctrlPr>
              </m:sub>
            </m:sSub>
            <m:ctrlPr>
              <w:rPr>
                <w:rFonts w:ascii="Cambria Math" w:hAnsi="Cambria Math" w:eastAsiaTheme="minorEastAsia"/>
                <w:lang w:val="zh-CN"/>
              </w:rPr>
            </m:ctrlPr>
          </m:num>
          <m:den>
            <m:sSub>
              <m:sSubPr>
                <m:ctrlPr>
                  <w:rPr>
                    <w:rFonts w:ascii="Cambria Math" w:hAnsi="Cambria Math" w:eastAsiaTheme="minorEastAsia"/>
                    <w:i/>
                    <w:lang w:val="zh-CN"/>
                  </w:rPr>
                </m:ctrlPr>
              </m:sSubPr>
              <m:e>
                <m:r>
                  <w:rPr>
                    <w:rFonts w:ascii="Cambria Math" w:hAnsi="Cambria Math" w:eastAsiaTheme="minorEastAsia"/>
                    <w:lang w:val="zh-CN"/>
                  </w:rPr>
                  <m:t>C</m:t>
                </m:r>
                <m:ctrlPr>
                  <w:rPr>
                    <w:rFonts w:ascii="Cambria Math" w:hAnsi="Cambria Math" w:eastAsiaTheme="minorEastAsia"/>
                    <w:i/>
                    <w:lang w:val="zh-CN"/>
                  </w:rPr>
                </m:ctrlPr>
              </m:e>
              <m:sub>
                <m:r>
                  <w:rPr>
                    <w:rFonts w:hint="eastAsia" w:ascii="Cambria Math" w:hAnsi="Cambria Math" w:eastAsiaTheme="minorEastAsia"/>
                    <w:lang w:val="zh-CN"/>
                  </w:rPr>
                  <m:t>处理前</m:t>
                </m:r>
                <m:ctrlPr>
                  <w:rPr>
                    <w:rFonts w:ascii="Cambria Math" w:hAnsi="Cambria Math" w:eastAsiaTheme="minorEastAsia"/>
                    <w:i/>
                    <w:lang w:val="zh-CN"/>
                  </w:rPr>
                </m:ctrlPr>
              </m:sub>
            </m:sSub>
            <m:r>
              <w:rPr>
                <w:rFonts w:ascii="Cambria Math" w:hAnsi="Cambria Math" w:eastAsiaTheme="minorEastAsia"/>
              </w:rPr>
              <m:t>×</m:t>
            </m:r>
            <m:sSub>
              <m:sSubPr>
                <m:ctrlPr>
                  <w:rPr>
                    <w:rFonts w:ascii="Cambria Math" w:hAnsi="Cambria Math" w:eastAsiaTheme="minorEastAsia"/>
                    <w:i/>
                    <w:lang w:val="zh-CN"/>
                  </w:rPr>
                </m:ctrlPr>
              </m:sSubPr>
              <m:e>
                <m:r>
                  <w:rPr>
                    <w:rFonts w:ascii="Cambria Math" w:hAnsi="Cambria Math" w:eastAsiaTheme="minorEastAsia"/>
                    <w:lang w:val="zh-CN"/>
                  </w:rPr>
                  <m:t>Q</m:t>
                </m:r>
                <m:ctrlPr>
                  <w:rPr>
                    <w:rFonts w:ascii="Cambria Math" w:hAnsi="Cambria Math" w:eastAsiaTheme="minorEastAsia"/>
                    <w:i/>
                    <w:lang w:val="zh-CN"/>
                  </w:rPr>
                </m:ctrlPr>
              </m:e>
              <m:sub>
                <m:r>
                  <w:rPr>
                    <w:rFonts w:hint="eastAsia" w:ascii="Cambria Math" w:hAnsi="Cambria Math" w:eastAsiaTheme="minorEastAsia"/>
                    <w:lang w:val="zh-CN"/>
                  </w:rPr>
                  <m:t>处理前</m:t>
                </m:r>
                <m:ctrlPr>
                  <w:rPr>
                    <w:rFonts w:ascii="Cambria Math" w:hAnsi="Cambria Math" w:eastAsiaTheme="minorEastAsia"/>
                    <w:i/>
                    <w:lang w:val="zh-CN"/>
                  </w:rPr>
                </m:ctrlPr>
              </m:sub>
            </m:sSub>
            <m:ctrlPr>
              <w:rPr>
                <w:rFonts w:ascii="Cambria Math" w:hAnsi="Cambria Math" w:eastAsiaTheme="minorEastAsia"/>
                <w:lang w:val="zh-CN"/>
              </w:rPr>
            </m:ctrlPr>
          </m:den>
        </m:f>
        <m:r>
          <w:rPr>
            <w:rFonts w:ascii="Cambria Math" w:hAnsi="Cambria Math" w:eastAsiaTheme="minorEastAsia"/>
          </w:rPr>
          <m:t>×100%</m:t>
        </m:r>
      </m:oMath>
      <w:r>
        <w:rPr>
          <w:rFonts w:hint="eastAsia"/>
        </w:rPr>
        <w:t xml:space="preserve">        （1）</w:t>
      </w:r>
    </w:p>
    <w:p>
      <w:pPr>
        <w:ind w:firstLine="0" w:firstLineChars="0"/>
        <w:jc w:val="left"/>
      </w:pPr>
      <w:r>
        <w:rPr>
          <w:rFonts w:hint="eastAsia"/>
        </w:rPr>
        <w:t>式中：</w:t>
      </w:r>
      <w:r>
        <w:t>η</w:t>
      </w:r>
      <w:r>
        <w:rPr>
          <w:rFonts w:hint="eastAsia"/>
        </w:rPr>
        <w:t>——污染物处理设施处理效率，%；</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G</m:t>
            </m:r>
            <m:ctrlPr>
              <w:rPr>
                <w:rFonts w:ascii="Cambria Math" w:hAnsi="Cambria Math" w:cs="Times New Roman"/>
                <w:szCs w:val="24"/>
              </w:rPr>
            </m:ctrlPr>
          </m:e>
          <m:sub>
            <m:r>
              <m:rPr>
                <m:sty m:val="p"/>
              </m:rPr>
              <w:rPr>
                <w:rFonts w:hint="eastAsia" w:ascii="Cambria Math" w:hAnsi="Cambria Math" w:cs="Times New Roman"/>
                <w:szCs w:val="24"/>
              </w:rPr>
              <m:t>处理前</m:t>
            </m:r>
            <m:ctrlPr>
              <w:rPr>
                <w:rFonts w:ascii="Cambria Math" w:hAnsi="Cambria Math" w:cs="Times New Roman"/>
                <w:szCs w:val="24"/>
              </w:rPr>
            </m:ctrlPr>
          </m:sub>
        </m:sSub>
      </m:oMath>
      <w:r>
        <w:rPr>
          <w:rFonts w:hint="eastAsia" w:cs="Times New Roman"/>
          <w:szCs w:val="24"/>
        </w:rPr>
        <w:t>——处理设施处理前NMHC排放速率，kg</w:t>
      </w:r>
      <w:r>
        <w:rPr>
          <w:rFonts w:cs="Times New Roman"/>
          <w:szCs w:val="24"/>
        </w:rPr>
        <w:t>/</w:t>
      </w:r>
      <w:r>
        <w:rPr>
          <w:rFonts w:hint="eastAsia" w:cs="Times New Roman"/>
          <w:szCs w:val="24"/>
        </w:rPr>
        <w:t>h；</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G</m:t>
            </m:r>
            <m:ctrlPr>
              <w:rPr>
                <w:rFonts w:ascii="Cambria Math" w:hAnsi="Cambria Math" w:cs="Times New Roman"/>
                <w:szCs w:val="24"/>
              </w:rPr>
            </m:ctrlPr>
          </m:e>
          <m:sub>
            <m:r>
              <m:rPr>
                <m:sty m:val="p"/>
              </m:rPr>
              <w:rPr>
                <w:rFonts w:hint="eastAsia" w:ascii="Cambria Math" w:hAnsi="Cambria Math" w:cs="Times New Roman"/>
                <w:szCs w:val="24"/>
              </w:rPr>
              <m:t>处理后</m:t>
            </m:r>
            <m:ctrlPr>
              <w:rPr>
                <w:rFonts w:ascii="Cambria Math" w:hAnsi="Cambria Math" w:cs="Times New Roman"/>
                <w:szCs w:val="24"/>
              </w:rPr>
            </m:ctrlPr>
          </m:sub>
        </m:sSub>
      </m:oMath>
      <w:r>
        <w:rPr>
          <w:rFonts w:hint="eastAsia" w:cs="Times New Roman"/>
          <w:szCs w:val="24"/>
        </w:rPr>
        <w:t>——处理设施处理后NMHC排放速率，kg</w:t>
      </w:r>
      <w:r>
        <w:rPr>
          <w:rFonts w:cs="Times New Roman"/>
          <w:szCs w:val="24"/>
        </w:rPr>
        <w:t>/</w:t>
      </w:r>
      <w:r>
        <w:rPr>
          <w:rFonts w:hint="eastAsia" w:cs="Times New Roman"/>
          <w:szCs w:val="24"/>
        </w:rPr>
        <w:t>h；</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C</m:t>
            </m:r>
            <m:ctrlPr>
              <w:rPr>
                <w:rFonts w:ascii="Cambria Math" w:hAnsi="Cambria Math" w:cs="Times New Roman"/>
                <w:szCs w:val="24"/>
              </w:rPr>
            </m:ctrlPr>
          </m:e>
          <m:sub>
            <m:r>
              <m:rPr>
                <m:sty m:val="p"/>
              </m:rPr>
              <w:rPr>
                <w:rFonts w:hint="eastAsia" w:ascii="Cambria Math" w:hAnsi="Cambria Math" w:cs="Times New Roman"/>
                <w:szCs w:val="24"/>
              </w:rPr>
              <m:t>处理前</m:t>
            </m:r>
            <m:ctrlPr>
              <w:rPr>
                <w:rFonts w:ascii="Cambria Math" w:hAnsi="Cambria Math" w:cs="Times New Roman"/>
                <w:szCs w:val="24"/>
              </w:rPr>
            </m:ctrlPr>
          </m:sub>
        </m:sSub>
      </m:oMath>
      <w:r>
        <w:rPr>
          <w:rFonts w:hint="eastAsia" w:cs="Times New Roman"/>
          <w:szCs w:val="24"/>
        </w:rPr>
        <w:t>——处理设施处理前NMHC排放浓度，</w:t>
      </w:r>
      <w:r>
        <w:rPr>
          <w:rFonts w:cs="Times New Roman"/>
          <w:szCs w:val="24"/>
        </w:rPr>
        <w:t>mg/m</w:t>
      </w:r>
      <w:r>
        <w:rPr>
          <w:rFonts w:cs="Times New Roman"/>
          <w:szCs w:val="24"/>
          <w:vertAlign w:val="superscript"/>
        </w:rPr>
        <w:t>3</w:t>
      </w:r>
      <w:r>
        <w:rPr>
          <w:rFonts w:hint="eastAsia" w:cs="Times New Roman"/>
          <w:szCs w:val="24"/>
        </w:rPr>
        <w:t>；</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C</m:t>
            </m:r>
            <m:ctrlPr>
              <w:rPr>
                <w:rFonts w:ascii="Cambria Math" w:hAnsi="Cambria Math" w:cs="Times New Roman"/>
                <w:szCs w:val="24"/>
              </w:rPr>
            </m:ctrlPr>
          </m:e>
          <m:sub>
            <m:r>
              <m:rPr>
                <m:sty m:val="p"/>
              </m:rPr>
              <w:rPr>
                <w:rFonts w:hint="eastAsia" w:ascii="Cambria Math" w:hAnsi="Cambria Math" w:cs="Times New Roman"/>
                <w:szCs w:val="24"/>
              </w:rPr>
              <m:t>处理后</m:t>
            </m:r>
            <m:ctrlPr>
              <w:rPr>
                <w:rFonts w:ascii="Cambria Math" w:hAnsi="Cambria Math" w:cs="Times New Roman"/>
                <w:szCs w:val="24"/>
              </w:rPr>
            </m:ctrlPr>
          </m:sub>
        </m:sSub>
      </m:oMath>
      <w:r>
        <w:rPr>
          <w:rFonts w:hint="eastAsia" w:cs="Times New Roman"/>
          <w:szCs w:val="24"/>
        </w:rPr>
        <w:t>——处理设施处理后NMHC排放浓度，</w:t>
      </w:r>
      <w:r>
        <w:rPr>
          <w:rFonts w:cs="Times New Roman"/>
          <w:szCs w:val="24"/>
        </w:rPr>
        <w:t>mg/m</w:t>
      </w:r>
      <w:r>
        <w:rPr>
          <w:rFonts w:cs="Times New Roman"/>
          <w:szCs w:val="24"/>
          <w:vertAlign w:val="superscript"/>
        </w:rPr>
        <w:t>3</w:t>
      </w:r>
      <w:r>
        <w:rPr>
          <w:rFonts w:hint="eastAsia" w:cs="Times New Roman"/>
          <w:szCs w:val="24"/>
        </w:rPr>
        <w:t>；</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Q</m:t>
            </m:r>
            <m:ctrlPr>
              <w:rPr>
                <w:rFonts w:ascii="Cambria Math" w:hAnsi="Cambria Math" w:cs="Times New Roman"/>
                <w:szCs w:val="24"/>
              </w:rPr>
            </m:ctrlPr>
          </m:e>
          <m:sub>
            <m:r>
              <m:rPr>
                <m:sty m:val="p"/>
              </m:rPr>
              <w:rPr>
                <w:rFonts w:hint="eastAsia" w:ascii="Cambria Math" w:hAnsi="Cambria Math" w:cs="Times New Roman"/>
                <w:szCs w:val="24"/>
              </w:rPr>
              <m:t>处理前</m:t>
            </m:r>
            <m:ctrlPr>
              <w:rPr>
                <w:rFonts w:ascii="Cambria Math" w:hAnsi="Cambria Math" w:cs="Times New Roman"/>
                <w:szCs w:val="24"/>
              </w:rPr>
            </m:ctrlPr>
          </m:sub>
        </m:sSub>
      </m:oMath>
      <w:r>
        <w:rPr>
          <w:rFonts w:hint="eastAsia" w:cs="Times New Roman"/>
          <w:szCs w:val="24"/>
        </w:rPr>
        <w:t>——处理设施处理前标准状态下干排气量，</w:t>
      </w:r>
      <w:r>
        <w:rPr>
          <w:rFonts w:cs="Times New Roman"/>
          <w:szCs w:val="24"/>
        </w:rPr>
        <w:t>m</w:t>
      </w:r>
      <w:r>
        <w:rPr>
          <w:rFonts w:cs="Times New Roman"/>
          <w:szCs w:val="24"/>
          <w:vertAlign w:val="superscript"/>
        </w:rPr>
        <w:t>3</w:t>
      </w:r>
      <w:r>
        <w:rPr>
          <w:rFonts w:hint="eastAsia" w:cs="Times New Roman"/>
          <w:szCs w:val="24"/>
        </w:rPr>
        <w:t>/h；</w:t>
      </w:r>
    </w:p>
    <w:p>
      <w:pPr>
        <w:pStyle w:val="16"/>
        <w:keepNext/>
        <w:ind w:firstLine="1200" w:firstLineChars="500"/>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Q</m:t>
            </m:r>
            <m:ctrlPr>
              <w:rPr>
                <w:rFonts w:ascii="Cambria Math" w:hAnsi="Cambria Math" w:cs="Times New Roman"/>
                <w:szCs w:val="24"/>
              </w:rPr>
            </m:ctrlPr>
          </m:e>
          <m:sub>
            <m:r>
              <m:rPr>
                <m:sty m:val="p"/>
              </m:rPr>
              <w:rPr>
                <w:rFonts w:hint="eastAsia" w:ascii="Cambria Math" w:hAnsi="Cambria Math" w:cs="Times New Roman"/>
                <w:szCs w:val="24"/>
              </w:rPr>
              <m:t>处理后</m:t>
            </m:r>
            <m:ctrlPr>
              <w:rPr>
                <w:rFonts w:ascii="Cambria Math" w:hAnsi="Cambria Math" w:cs="Times New Roman"/>
                <w:szCs w:val="24"/>
              </w:rPr>
            </m:ctrlPr>
          </m:sub>
        </m:sSub>
      </m:oMath>
      <w:r>
        <w:rPr>
          <w:rFonts w:hint="eastAsia" w:cs="Times New Roman"/>
          <w:szCs w:val="24"/>
        </w:rPr>
        <w:t>——处理设施处理后标准状态下干排气量，</w:t>
      </w:r>
      <w:r>
        <w:rPr>
          <w:rFonts w:cs="Times New Roman"/>
          <w:szCs w:val="24"/>
        </w:rPr>
        <w:t>m</w:t>
      </w:r>
      <w:r>
        <w:rPr>
          <w:rFonts w:cs="Times New Roman"/>
          <w:szCs w:val="24"/>
          <w:vertAlign w:val="superscript"/>
        </w:rPr>
        <w:t>3</w:t>
      </w:r>
      <w:r>
        <w:rPr>
          <w:rFonts w:hint="eastAsia" w:cs="Times New Roman"/>
          <w:szCs w:val="24"/>
        </w:rPr>
        <w:t>/h；</w:t>
      </w:r>
    </w:p>
    <w:p>
      <w:pPr>
        <w:pStyle w:val="5"/>
        <w:numPr>
          <w:ilvl w:val="0"/>
          <w:numId w:val="0"/>
        </w:numPr>
        <w:spacing w:before="163"/>
      </w:pPr>
      <w:bookmarkStart w:id="97" w:name="_Toc226540466"/>
      <w:r>
        <w:rPr>
          <w:rFonts w:hint="eastAsia" w:cs="Times New Roman"/>
          <w:szCs w:val="21"/>
        </w:rPr>
        <w:t>（2）</w:t>
      </w:r>
      <w:r>
        <w:rPr>
          <w:rFonts w:hint="eastAsia"/>
        </w:rPr>
        <w:t>VOCs燃烧装置排放限值及浓度换算</w:t>
      </w:r>
      <w:bookmarkEnd w:id="97"/>
    </w:p>
    <w:p>
      <w:pPr>
        <w:ind w:firstLine="480"/>
      </w:pPr>
      <w:r>
        <w:rPr>
          <w:rFonts w:hint="eastAsia"/>
          <w:lang w:val="zh-CN"/>
        </w:rPr>
        <w:t>VOCs燃烧（焚烧、氧化）装置除满足表7-1的大气污染物</w:t>
      </w:r>
      <w:r>
        <w:rPr>
          <w:rFonts w:hint="eastAsia"/>
        </w:rPr>
        <w:t>有组织</w:t>
      </w:r>
      <w:r>
        <w:rPr>
          <w:rFonts w:hint="eastAsia"/>
          <w:lang w:val="zh-CN"/>
        </w:rPr>
        <w:t>排放</w:t>
      </w:r>
      <w:r>
        <w:rPr>
          <w:rFonts w:hint="eastAsia"/>
        </w:rPr>
        <w:t>限值</w:t>
      </w:r>
      <w:r>
        <w:rPr>
          <w:rFonts w:hint="eastAsia"/>
          <w:lang w:val="zh-CN"/>
        </w:rPr>
        <w:t>要求外，还需对排放烟气中的二氧化硫和氮氧化物进行控制，达到表7-2规定的限值。利用符合VOCs燃烧（焚烧、氧化）条件和安全要求的锅炉、工业炉窑、固废焚烧炉焚烧处理有机废气的，还应满足相应排放标准的控制要求</w:t>
      </w:r>
      <w:r>
        <w:rPr>
          <w:rFonts w:hint="eastAsia"/>
        </w:rPr>
        <w:t>。</w:t>
      </w:r>
    </w:p>
    <w:p>
      <w:pPr>
        <w:ind w:firstLine="0" w:firstLineChars="0"/>
        <w:jc w:val="center"/>
        <w:rPr>
          <w:b/>
          <w:sz w:val="21"/>
          <w:szCs w:val="21"/>
        </w:rPr>
      </w:pPr>
      <w:r>
        <w:rPr>
          <w:rFonts w:hint="eastAsia"/>
          <w:b/>
          <w:sz w:val="21"/>
          <w:szCs w:val="21"/>
        </w:rPr>
        <w:t>表7-2 燃烧装置大气污染物排放限值</w:t>
      </w:r>
    </w:p>
    <w:p>
      <w:pPr>
        <w:keepNext/>
        <w:spacing w:line="240" w:lineRule="auto"/>
        <w:ind w:right="420" w:firstLine="0" w:firstLineChars="0"/>
        <w:jc w:val="right"/>
        <w:rPr>
          <w:rFonts w:cs="Times New Roman"/>
          <w:b/>
          <w:bCs/>
          <w:szCs w:val="24"/>
        </w:rPr>
      </w:pPr>
      <w:r>
        <w:rPr>
          <w:rFonts w:hint="eastAsia" w:cs="Times New Roman"/>
          <w:szCs w:val="24"/>
        </w:rPr>
        <w:t>单位：</w:t>
      </w:r>
      <w:r>
        <w:rPr>
          <w:rFonts w:hAnsi="Calibri" w:cs="Times New Roman"/>
          <w:szCs w:val="24"/>
        </w:rPr>
        <w:t>mg/m</w:t>
      </w:r>
      <w:r>
        <w:rPr>
          <w:rFonts w:hAnsi="Calibri" w:cs="Times New Roman"/>
          <w:szCs w:val="24"/>
          <w:vertAlign w:val="superscript"/>
        </w:rPr>
        <w:t>3</w:t>
      </w:r>
    </w:p>
    <w:tbl>
      <w:tblPr>
        <w:tblStyle w:val="98"/>
        <w:tblW w:w="81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2"/>
        <w:gridCol w:w="3946"/>
        <w:gridCol w:w="2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tblHeader/>
          <w:jc w:val="center"/>
        </w:trPr>
        <w:tc>
          <w:tcPr>
            <w:tcW w:w="1582" w:type="dxa"/>
            <w:vAlign w:val="center"/>
          </w:tcPr>
          <w:p>
            <w:pPr>
              <w:keepNext/>
              <w:spacing w:line="240" w:lineRule="auto"/>
              <w:ind w:firstLine="0" w:firstLineChars="0"/>
              <w:jc w:val="center"/>
              <w:rPr>
                <w:rFonts w:ascii="Times New Roman"/>
              </w:rPr>
            </w:pPr>
            <w:r>
              <w:rPr>
                <w:rFonts w:ascii="Times New Roman"/>
              </w:rPr>
              <w:t>污染物项目</w:t>
            </w:r>
          </w:p>
        </w:tc>
        <w:tc>
          <w:tcPr>
            <w:tcW w:w="3946" w:type="dxa"/>
            <w:vAlign w:val="center"/>
          </w:tcPr>
          <w:p>
            <w:pPr>
              <w:keepNext/>
              <w:spacing w:line="240" w:lineRule="auto"/>
              <w:ind w:firstLine="0" w:firstLineChars="0"/>
              <w:jc w:val="center"/>
              <w:rPr>
                <w:rFonts w:ascii="Times New Roman"/>
              </w:rPr>
            </w:pPr>
            <w:r>
              <w:rPr>
                <w:rFonts w:ascii="Times New Roman"/>
              </w:rPr>
              <w:t>排放限值</w:t>
            </w:r>
          </w:p>
        </w:tc>
        <w:tc>
          <w:tcPr>
            <w:tcW w:w="2655" w:type="dxa"/>
            <w:vAlign w:val="center"/>
          </w:tcPr>
          <w:p>
            <w:pPr>
              <w:keepNext/>
              <w:spacing w:line="240" w:lineRule="auto"/>
              <w:ind w:firstLine="0" w:firstLineChars="0"/>
              <w:jc w:val="center"/>
              <w:rPr>
                <w:rFonts w:ascii="Times New Roman"/>
              </w:rPr>
            </w:pPr>
            <w:r>
              <w:rPr>
                <w:rFonts w:ascii="Times New Roman"/>
              </w:rPr>
              <w:t>污染物排放监控位置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jc w:val="center"/>
        </w:trPr>
        <w:tc>
          <w:tcPr>
            <w:tcW w:w="1582" w:type="dxa"/>
            <w:vAlign w:val="center"/>
          </w:tcPr>
          <w:p>
            <w:pPr>
              <w:keepNext/>
              <w:spacing w:line="240" w:lineRule="auto"/>
              <w:ind w:firstLine="0" w:firstLineChars="0"/>
              <w:jc w:val="center"/>
              <w:rPr>
                <w:rFonts w:ascii="Times New Roman"/>
              </w:rPr>
            </w:pPr>
            <w:r>
              <w:rPr>
                <w:rFonts w:ascii="Times New Roman"/>
              </w:rPr>
              <w:t>二氧化硫</w:t>
            </w:r>
          </w:p>
        </w:tc>
        <w:tc>
          <w:tcPr>
            <w:tcW w:w="3946" w:type="dxa"/>
            <w:vAlign w:val="center"/>
          </w:tcPr>
          <w:p>
            <w:pPr>
              <w:keepNext/>
              <w:spacing w:line="240" w:lineRule="auto"/>
              <w:ind w:firstLine="0" w:firstLineChars="0"/>
              <w:jc w:val="center"/>
              <w:rPr>
                <w:rFonts w:ascii="Times New Roman"/>
              </w:rPr>
            </w:pPr>
            <w:r>
              <w:rPr>
                <w:rFonts w:hint="eastAsia" w:ascii="Times New Roman"/>
              </w:rPr>
              <w:t>35</w:t>
            </w:r>
          </w:p>
        </w:tc>
        <w:tc>
          <w:tcPr>
            <w:tcW w:w="2655" w:type="dxa"/>
            <w:vMerge w:val="restart"/>
            <w:vAlign w:val="center"/>
          </w:tcPr>
          <w:p>
            <w:pPr>
              <w:keepNext/>
              <w:spacing w:line="240" w:lineRule="auto"/>
              <w:ind w:firstLine="0" w:firstLineChars="0"/>
              <w:jc w:val="center"/>
              <w:rPr>
                <w:rFonts w:ascii="Times New Roman"/>
              </w:rPr>
            </w:pPr>
            <w:r>
              <w:rPr>
                <w:rFonts w:ascii="Times New Roman"/>
              </w:rPr>
              <w:t>VOCs燃烧（焚烧、氧化）装置排气筒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 w:hRule="atLeast"/>
          <w:jc w:val="center"/>
        </w:trPr>
        <w:tc>
          <w:tcPr>
            <w:tcW w:w="1582" w:type="dxa"/>
            <w:vAlign w:val="center"/>
          </w:tcPr>
          <w:p>
            <w:pPr>
              <w:keepNext/>
              <w:spacing w:line="240" w:lineRule="auto"/>
              <w:ind w:firstLine="0" w:firstLineChars="0"/>
              <w:jc w:val="center"/>
              <w:rPr>
                <w:rFonts w:ascii="宋体" w:cs="Times New Roman"/>
                <w:sz w:val="21"/>
                <w:szCs w:val="21"/>
              </w:rPr>
            </w:pPr>
            <w:r>
              <w:rPr>
                <w:rFonts w:ascii="宋体" w:cs="Times New Roman"/>
                <w:sz w:val="21"/>
                <w:szCs w:val="21"/>
              </w:rPr>
              <w:t>氮氧化物</w:t>
            </w:r>
          </w:p>
        </w:tc>
        <w:tc>
          <w:tcPr>
            <w:tcW w:w="3946" w:type="dxa"/>
            <w:vAlign w:val="center"/>
          </w:tcPr>
          <w:p>
            <w:pPr>
              <w:keepNext/>
              <w:spacing w:line="240" w:lineRule="auto"/>
              <w:ind w:firstLine="0" w:firstLineChars="0"/>
              <w:jc w:val="center"/>
              <w:rPr>
                <w:rFonts w:ascii="宋体" w:cs="Times New Roman"/>
                <w:sz w:val="21"/>
                <w:szCs w:val="21"/>
              </w:rPr>
            </w:pPr>
            <w:r>
              <w:rPr>
                <w:rFonts w:ascii="宋体" w:cs="Times New Roman"/>
                <w:sz w:val="21"/>
                <w:szCs w:val="21"/>
              </w:rPr>
              <w:t>50</w:t>
            </w:r>
          </w:p>
        </w:tc>
        <w:tc>
          <w:tcPr>
            <w:tcW w:w="2655" w:type="dxa"/>
            <w:vMerge w:val="continue"/>
            <w:vAlign w:val="center"/>
          </w:tcPr>
          <w:p>
            <w:pPr>
              <w:keepNext/>
              <w:spacing w:line="240" w:lineRule="auto"/>
              <w:ind w:firstLine="0" w:firstLineChars="0"/>
              <w:jc w:val="center"/>
              <w:rPr>
                <w:rFonts w:ascii="宋体" w:cs="Times New Roman"/>
                <w:sz w:val="21"/>
                <w:szCs w:val="21"/>
              </w:rPr>
            </w:pPr>
          </w:p>
        </w:tc>
      </w:tr>
    </w:tbl>
    <w:p>
      <w:pPr>
        <w:ind w:firstLine="480"/>
        <w:rPr>
          <w:lang w:val="zh-CN"/>
        </w:rPr>
      </w:pPr>
      <w:r>
        <w:rPr>
          <w:rFonts w:hint="eastAsia"/>
          <w:lang w:val="zh-CN"/>
        </w:rPr>
        <w:t>进入</w:t>
      </w:r>
      <w:r>
        <w:rPr>
          <w:lang w:val="zh-CN"/>
        </w:rPr>
        <w:t>VOCs</w:t>
      </w:r>
      <w:r>
        <w:rPr>
          <w:rFonts w:hint="eastAsia"/>
          <w:lang w:val="zh-CN"/>
        </w:rPr>
        <w:t>燃烧（焚烧、氧化）装置的废气，</w:t>
      </w:r>
      <w:bookmarkStart w:id="98" w:name="OLE_LINK3"/>
      <w:r>
        <w:rPr>
          <w:rFonts w:hint="eastAsia"/>
          <w:lang w:val="zh-CN"/>
        </w:rPr>
        <w:t>向燃烧（焚烧、氧化）装置内或在其后端补充空气的</w:t>
      </w:r>
      <w:bookmarkEnd w:id="98"/>
      <w:r>
        <w:rPr>
          <w:rFonts w:hint="eastAsia"/>
          <w:lang w:val="zh-CN"/>
        </w:rPr>
        <w:t>，排气筒中实测大气污染物排放浓度，应按公式（2）换算成基准含氧量为 3%的大气污染物基准排放浓度；不向燃烧（焚烧、氧化）装置内及其后端补充空气的（燃烧器的助燃空气不属于补充空气的情形），以实测浓度作为达标判定依据，但装置出口烟气含氧量不得高于装置进口废气含氧量。利用锅炉、工业炉窑、固废焚烧炉焚烧处理有机废气的，烟气基准含氧量按其排放标准规定执行。</w:t>
      </w:r>
    </w:p>
    <w:p>
      <w:pPr>
        <w:spacing w:line="360" w:lineRule="auto"/>
        <w:ind w:firstLine="0" w:firstLineChars="0"/>
        <w:jc w:val="right"/>
      </w:pPr>
      <m:oMath>
        <m:sSub>
          <m:sSubPr>
            <m:ctrlPr>
              <w:rPr>
                <w:rFonts w:ascii="Cambria Math" w:hAnsi="Cambria Math"/>
              </w:rPr>
            </m:ctrlPr>
          </m:sSubPr>
          <m:e>
            <m:r>
              <m:rPr>
                <m:nor/>
                <m:sty m:val="p"/>
              </m:rPr>
              <w:rPr>
                <w:b w:val="0"/>
                <w:i w:val="0"/>
                <w:iCs/>
              </w:rPr>
              <m:t>ρ</m:t>
            </m:r>
            <m:ctrlPr>
              <w:rPr>
                <w:rFonts w:ascii="Cambria Math" w:hAnsi="Cambria Math"/>
              </w:rPr>
            </m:ctrlPr>
          </m:e>
          <m:sub>
            <m:r>
              <m:rPr>
                <m:nor/>
                <m:sty m:val="p"/>
              </m:rPr>
              <w:rPr>
                <w:rFonts w:hint="eastAsia"/>
                <w:b w:val="0"/>
                <w:i w:val="0"/>
              </w:rPr>
              <m:t>基</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21-</m:t>
            </m:r>
            <m:sSub>
              <m:sSubPr>
                <m:ctrlPr>
                  <w:rPr>
                    <w:rFonts w:ascii="Cambria Math" w:hAnsi="Cambria Math"/>
                    <w:i/>
                    <w:iCs/>
                  </w:rPr>
                </m:ctrlPr>
              </m:sSubPr>
              <m:e>
                <m:r>
                  <m:rPr>
                    <m:nor/>
                  </m:rPr>
                  <w:rPr>
                    <w:i/>
                    <w:iCs/>
                  </w:rPr>
                  <m:t>O</m:t>
                </m:r>
                <m:ctrlPr>
                  <w:rPr>
                    <w:rFonts w:ascii="Cambria Math" w:hAnsi="Cambria Math"/>
                    <w:i/>
                    <w:iCs/>
                  </w:rPr>
                </m:ctrlPr>
              </m:e>
              <m:sub>
                <m:r>
                  <m:rPr>
                    <m:nor/>
                  </m:rPr>
                  <w:rPr>
                    <w:rFonts w:hint="eastAsia"/>
                    <w:i/>
                    <w:iCs/>
                  </w:rPr>
                  <m:t>基</m:t>
                </m:r>
                <m:ctrlPr>
                  <w:rPr>
                    <w:rFonts w:ascii="Cambria Math" w:hAnsi="Cambria Math"/>
                    <w:i/>
                    <w:iCs/>
                  </w:rPr>
                </m:ctrlPr>
              </m:sub>
            </m:sSub>
            <m:ctrlPr>
              <w:rPr>
                <w:rFonts w:ascii="Cambria Math" w:hAnsi="Cambria Math"/>
              </w:rPr>
            </m:ctrlPr>
          </m:num>
          <m:den>
            <m:r>
              <m:rPr>
                <m:nor/>
                <m:sty m:val="p"/>
              </m:rPr>
              <w:rPr>
                <w:b w:val="0"/>
                <w:i w:val="0"/>
              </w:rPr>
              <m:t>21-</m:t>
            </m:r>
            <m:sSub>
              <m:sSubPr>
                <m:ctrlPr>
                  <w:rPr>
                    <w:rFonts w:ascii="Cambria Math" w:hAnsi="Cambria Math"/>
                    <w:i/>
                    <w:iCs/>
                  </w:rPr>
                </m:ctrlPr>
              </m:sSubPr>
              <m:e>
                <m:r>
                  <m:rPr>
                    <m:nor/>
                  </m:rPr>
                  <w:rPr>
                    <w:i/>
                    <w:iCs/>
                  </w:rPr>
                  <m:t>O</m:t>
                </m:r>
                <m:ctrlPr>
                  <w:rPr>
                    <w:rFonts w:ascii="Cambria Math" w:hAnsi="Cambria Math"/>
                    <w:i/>
                    <w:iCs/>
                  </w:rPr>
                </m:ctrlPr>
              </m:e>
              <m:sub>
                <m:r>
                  <m:rPr>
                    <m:nor/>
                  </m:rPr>
                  <w:rPr>
                    <w:rFonts w:hint="eastAsia"/>
                    <w:i/>
                    <w:iCs/>
                  </w:rPr>
                  <m:t>实</m:t>
                </m:r>
                <m:ctrlPr>
                  <w:rPr>
                    <w:rFonts w:ascii="Cambria Math" w:hAnsi="Cambria Math"/>
                    <w:i/>
                    <w:iCs/>
                  </w:rPr>
                </m:ctrlPr>
              </m:sub>
            </m:sSub>
            <m:ctrlPr>
              <w:rPr>
                <w:rFonts w:ascii="Cambria Math" w:hAnsi="Cambria Math"/>
              </w:rPr>
            </m:ctrlPr>
          </m:den>
        </m:f>
        <m:r>
          <m:rPr>
            <m:nor/>
            <m:sty m:val="p"/>
          </m:rPr>
          <w:rPr>
            <w:b w:val="0"/>
            <w:i w:val="0"/>
          </w:rPr>
          <m:t>×</m:t>
        </m:r>
        <m:sSub>
          <m:sSubPr>
            <m:ctrlPr>
              <w:rPr>
                <w:rFonts w:ascii="Cambria Math" w:hAnsi="Cambria Math"/>
              </w:rPr>
            </m:ctrlPr>
          </m:sSubPr>
          <m:e>
            <m:r>
              <m:rPr>
                <m:nor/>
                <m:sty m:val="p"/>
              </m:rPr>
              <w:rPr>
                <w:b w:val="0"/>
                <w:i w:val="0"/>
                <w:iCs/>
              </w:rPr>
              <m:t>ρ</m:t>
            </m:r>
            <m:ctrlPr>
              <w:rPr>
                <w:rFonts w:ascii="Cambria Math" w:hAnsi="Cambria Math"/>
              </w:rPr>
            </m:ctrlPr>
          </m:e>
          <m:sub>
            <m:r>
              <m:rPr>
                <m:nor/>
                <m:sty m:val="p"/>
              </m:rPr>
              <w:rPr>
                <w:rFonts w:hint="eastAsia"/>
                <w:b w:val="0"/>
                <w:i w:val="0"/>
              </w:rPr>
              <m:t>实</m:t>
            </m:r>
            <m:ctrlPr>
              <w:rPr>
                <w:rFonts w:ascii="Cambria Math" w:hAnsi="Cambria Math"/>
              </w:rPr>
            </m:ctrlPr>
          </m:sub>
        </m:sSub>
      </m:oMath>
      <w:r>
        <w:tab/>
      </w:r>
      <w:r>
        <w:rPr>
          <w:rFonts w:hint="eastAsia"/>
        </w:rPr>
        <w:t xml:space="preserve">                    （2）</w:t>
      </w:r>
    </w:p>
    <w:p>
      <w:pPr>
        <w:ind w:firstLine="480"/>
        <w:jc w:val="left"/>
      </w:pPr>
      <w:r>
        <w:rPr>
          <w:rFonts w:hint="eastAsia"/>
        </w:rPr>
        <w:t>式中：</w:t>
      </w:r>
      <m:oMath>
        <m:sSub>
          <m:sSubPr>
            <m:ctrlPr>
              <w:rPr>
                <w:rFonts w:ascii="Cambria Math" w:hAnsi="Cambria Math"/>
                <w:i/>
              </w:rPr>
            </m:ctrlPr>
          </m:sSubPr>
          <m:e>
            <m:r>
              <w:rPr>
                <w:rFonts w:ascii="Cambria Math" w:hAnsi="Cambria Math"/>
              </w:rPr>
              <m:t>ρ</m:t>
            </m:r>
            <m:ctrlPr>
              <w:rPr>
                <w:rFonts w:ascii="Cambria Math" w:hAnsi="Cambria Math"/>
                <w:i/>
              </w:rPr>
            </m:ctrlPr>
          </m:e>
          <m:sub>
            <m:r>
              <w:rPr>
                <w:rFonts w:hint="eastAsia" w:ascii="Cambria Math" w:hAnsi="Cambria Math"/>
              </w:rPr>
              <m:t>基</m:t>
            </m:r>
            <m:ctrlPr>
              <w:rPr>
                <w:rFonts w:ascii="Cambria Math" w:hAnsi="Cambria Math"/>
                <w:i/>
              </w:rPr>
            </m:ctrlPr>
          </m:sub>
        </m:sSub>
      </m:oMath>
      <w:r>
        <w:rPr>
          <w:rFonts w:hint="eastAsia"/>
        </w:rPr>
        <w:t>——NMHC基准排放质量浓度，</w:t>
      </w:r>
      <w:r>
        <w:t>mg/m</w:t>
      </w:r>
      <w:r>
        <w:rPr>
          <w:vertAlign w:val="superscript"/>
        </w:rPr>
        <w:t>3</w:t>
      </w:r>
      <w:r>
        <w:rPr>
          <w:rFonts w:hint="eastAsia"/>
        </w:rPr>
        <w:t>；</w:t>
      </w:r>
    </w:p>
    <w:p>
      <w:pPr>
        <w:ind w:firstLine="480"/>
        <w:jc w:val="left"/>
      </w:pPr>
      <m:oMath>
        <m:sSub>
          <m:sSubPr>
            <m:ctrlPr>
              <w:rPr>
                <w:rFonts w:ascii="Cambria Math" w:hAnsi="Cambria Math"/>
              </w:rPr>
            </m:ctrlPr>
          </m:sSubPr>
          <m:e>
            <m:r>
              <w:rPr>
                <w:rFonts w:ascii="Cambria Math" w:hAnsi="Cambria Math"/>
              </w:rPr>
              <m:t>ρ</m:t>
            </m:r>
            <m:ctrlPr>
              <w:rPr>
                <w:rFonts w:ascii="Cambria Math" w:hAnsi="Cambria Math"/>
              </w:rPr>
            </m:ctrlPr>
          </m:e>
          <m:sub>
            <m:r>
              <m:rPr>
                <m:sty m:val="p"/>
              </m:rPr>
              <w:rPr>
                <w:rFonts w:hint="eastAsia" w:ascii="Cambria Math" w:hAnsi="Cambria Math"/>
              </w:rPr>
              <m:t>实</m:t>
            </m:r>
            <m:ctrlPr>
              <w:rPr>
                <w:rFonts w:ascii="Cambria Math" w:hAnsi="Cambria Math"/>
              </w:rPr>
            </m:ctrlPr>
          </m:sub>
        </m:sSub>
      </m:oMath>
      <w:r>
        <w:rPr>
          <w:rFonts w:hint="eastAsia"/>
        </w:rPr>
        <w:t>——实测NMHC排放质量浓度，</w:t>
      </w:r>
      <w:r>
        <w:t>mg/m</w:t>
      </w:r>
      <w:r>
        <w:rPr>
          <w:vertAlign w:val="superscript"/>
        </w:rPr>
        <w:t>3</w:t>
      </w:r>
      <w:r>
        <w:rPr>
          <w:rFonts w:hint="eastAsia"/>
        </w:rPr>
        <w:t>；</w:t>
      </w:r>
    </w:p>
    <w:p>
      <w:pPr>
        <w:ind w:firstLine="480"/>
        <w:jc w:val="left"/>
      </w:pPr>
      <m:oMath>
        <m:sSub>
          <m:sSubPr>
            <m:ctrlPr>
              <w:rPr>
                <w:rFonts w:ascii="Cambria Math" w:hAnsi="Cambria Math"/>
              </w:rPr>
            </m:ctrlPr>
          </m:sSubPr>
          <m:e>
            <m:r>
              <w:rPr>
                <w:rFonts w:ascii="Cambria Math" w:hAnsi="Cambria Math"/>
              </w:rPr>
              <m:t>O</m:t>
            </m:r>
            <m:ctrlPr>
              <w:rPr>
                <w:rFonts w:ascii="Cambria Math" w:hAnsi="Cambria Math"/>
              </w:rPr>
            </m:ctrlPr>
          </m:e>
          <m:sub>
            <m:r>
              <m:rPr>
                <m:sty m:val="p"/>
              </m:rPr>
              <w:rPr>
                <w:rFonts w:hint="eastAsia" w:ascii="Cambria Math" w:hAnsi="Cambria Math"/>
              </w:rPr>
              <m:t>基</m:t>
            </m:r>
            <m:ctrlPr>
              <w:rPr>
                <w:rFonts w:ascii="Cambria Math" w:hAnsi="Cambria Math"/>
              </w:rPr>
            </m:ctrlPr>
          </m:sub>
        </m:sSub>
      </m:oMath>
      <w:r>
        <w:rPr>
          <w:rFonts w:hint="eastAsia"/>
        </w:rPr>
        <w:t>——干烟气基准含氧量，</w:t>
      </w:r>
      <w:r>
        <w:t>%</w:t>
      </w:r>
      <w:r>
        <w:rPr>
          <w:rFonts w:hint="eastAsia"/>
        </w:rPr>
        <w:t>；</w:t>
      </w:r>
    </w:p>
    <w:p>
      <w:pPr>
        <w:ind w:firstLine="480"/>
        <w:jc w:val="left"/>
      </w:pPr>
      <m:oMath>
        <m:sSub>
          <m:sSubPr>
            <m:ctrlPr>
              <w:rPr>
                <w:rFonts w:ascii="Cambria Math" w:hAnsi="Cambria Math"/>
              </w:rPr>
            </m:ctrlPr>
          </m:sSubPr>
          <m:e>
            <m:r>
              <w:rPr>
                <w:rFonts w:ascii="Cambria Math" w:hAnsi="Cambria Math"/>
              </w:rPr>
              <m:t>O</m:t>
            </m:r>
            <m:ctrlPr>
              <w:rPr>
                <w:rFonts w:ascii="Cambria Math" w:hAnsi="Cambria Math"/>
              </w:rPr>
            </m:ctrlPr>
          </m:e>
          <m:sub>
            <m:r>
              <m:rPr>
                <m:sty m:val="p"/>
              </m:rPr>
              <w:rPr>
                <w:rFonts w:hint="eastAsia" w:ascii="Cambria Math" w:hAnsi="Cambria Math"/>
              </w:rPr>
              <m:t>实</m:t>
            </m:r>
            <m:ctrlPr>
              <w:rPr>
                <w:rFonts w:ascii="Cambria Math" w:hAnsi="Cambria Math"/>
              </w:rPr>
            </m:ctrlPr>
          </m:sub>
        </m:sSub>
      </m:oMath>
      <w:r>
        <w:rPr>
          <w:rFonts w:hint="eastAsia"/>
        </w:rPr>
        <w:t>——实测的干烟气含氧量，</w:t>
      </w:r>
      <w:r>
        <w:t>%</w:t>
      </w:r>
      <w:r>
        <w:rPr>
          <w:rFonts w:hint="eastAsia"/>
        </w:rPr>
        <w:t>；</w:t>
      </w:r>
    </w:p>
    <w:p>
      <w:pPr>
        <w:ind w:firstLine="480"/>
        <w:jc w:val="left"/>
      </w:pPr>
      <w:r>
        <w:rPr>
          <w:rFonts w:hint="eastAsia"/>
        </w:rPr>
        <w:t>吸附、吸收、冷凝、生物、膜分离等其他非焚烧类</w:t>
      </w:r>
      <w:r>
        <w:t>VOCs</w:t>
      </w:r>
      <w:r>
        <w:rPr>
          <w:rFonts w:hint="eastAsia"/>
        </w:rPr>
        <w:t>处理设施，以实测NMHC浓度作为达标判定依据，不得人为稀释排放。</w:t>
      </w:r>
    </w:p>
    <w:p>
      <w:pPr>
        <w:pStyle w:val="4"/>
        <w:spacing w:before="163" w:after="163"/>
      </w:pPr>
      <w:bookmarkStart w:id="99" w:name="_Toc226540467"/>
      <w:r>
        <w:rPr>
          <w:rFonts w:hint="eastAsia"/>
        </w:rPr>
        <w:t>加热炉和试车尾气排放要求</w:t>
      </w:r>
      <w:bookmarkEnd w:id="99"/>
    </w:p>
    <w:p>
      <w:pPr>
        <w:ind w:firstLine="480"/>
        <w:rPr>
          <w:lang w:val="zh-CN"/>
        </w:rPr>
      </w:pPr>
      <w:r>
        <w:rPr>
          <w:rFonts w:hint="eastAsia"/>
          <w:lang w:val="zh-CN"/>
        </w:rPr>
        <w:t>参考安徽、上海等地方汽车维修行业标准，明确喷烤漆房加热炉和试车尾气大气污染物执行的排放标准，具体要求：喷烤漆房宜采用电加热装置，利用锅炉、工业炉窑、固废焚烧炉焚烧等设施的热烟气对喷烤漆房进行间接加热的，应针对加热设施设置专门的废气排气筒，避免烘烤废气与热烟气混合排放。加热炉排气筒拌放的大气污染物应符合GB 13271的要求，试车尾气排放的大气污染物应符合GB 16297的要求。</w:t>
      </w:r>
    </w:p>
    <w:p>
      <w:pPr>
        <w:pStyle w:val="4"/>
        <w:spacing w:before="163" w:after="163"/>
      </w:pPr>
      <w:bookmarkStart w:id="100" w:name="_Toc226540468"/>
      <w:r>
        <w:rPr>
          <w:rFonts w:hint="eastAsia"/>
        </w:rPr>
        <w:t>排气筒设置要求</w:t>
      </w:r>
      <w:bookmarkEnd w:id="100"/>
    </w:p>
    <w:p>
      <w:pPr>
        <w:ind w:firstLine="480"/>
        <w:rPr>
          <w:lang w:val="zh-CN"/>
        </w:rPr>
      </w:pPr>
      <w:r>
        <w:rPr>
          <w:rFonts w:hint="eastAsia"/>
        </w:rPr>
        <w:t>排气筒具体高度及距周围建筑物的距离按批复的环境影响评价文件确定，且不应低于15m（有安全考虑或其他特殊工艺要求的除外）。排气筒高度低于15m时，有组织排放要求按照表1、表2限值的50%执行。</w:t>
      </w:r>
    </w:p>
    <w:p>
      <w:pPr>
        <w:pStyle w:val="4"/>
        <w:spacing w:before="163" w:after="163"/>
      </w:pPr>
      <w:bookmarkStart w:id="101" w:name="_Toc226540469"/>
      <w:r>
        <w:rPr>
          <w:rFonts w:hint="eastAsia"/>
        </w:rPr>
        <w:t>其他管控要求</w:t>
      </w:r>
      <w:bookmarkEnd w:id="101"/>
    </w:p>
    <w:p>
      <w:pPr>
        <w:ind w:firstLine="480"/>
      </w:pPr>
      <w:r>
        <w:rPr>
          <w:rFonts w:hint="eastAsia"/>
          <w:lang w:val="zh-CN"/>
        </w:rPr>
        <w:t>1）废气收集和处理系统应符合GB/T 16758、WS/T757等相关技术规范和导则的要求。</w:t>
      </w:r>
    </w:p>
    <w:p>
      <w:pPr>
        <w:ind w:firstLine="480"/>
        <w:rPr>
          <w:lang w:val="zh-CN"/>
        </w:rPr>
      </w:pPr>
      <w:r>
        <w:rPr>
          <w:rFonts w:hint="eastAsia"/>
        </w:rPr>
        <w:t>2）</w:t>
      </w:r>
      <w:r>
        <w:rPr>
          <w:rFonts w:hint="eastAsia"/>
          <w:lang w:val="zh-CN"/>
        </w:rPr>
        <w:t>废气收集处理系统应先于生产工艺设备运行，后于生产工艺设备关闭。废气收集处理系统发生故障或检修时，对应的生产工艺设备应停止运行，待检修完毕后投入使用。废气收集处理系统应记录保养维护事项，并每日记录主要操作参数。</w:t>
      </w:r>
    </w:p>
    <w:p>
      <w:pPr>
        <w:ind w:firstLine="480"/>
        <w:rPr>
          <w:lang w:val="zh-CN"/>
        </w:rPr>
      </w:pPr>
      <w:r>
        <w:rPr>
          <w:rFonts w:hint="eastAsia"/>
          <w:lang w:val="zh-CN"/>
        </w:rPr>
        <w:t>3）当执行不同排放控制要求的废气合并排气简排放时，应在废气混合前进行监测，并执行相应的排放控制要求；若可选择的监控位置只能对混合后的废气进行监测，则应执行各排放控制要求中最严格的规定。当执行不同排放控制要求的废气合并排气简排放时，应在废气混合前进行监测，并执行相应的排放控制要求；若可选择的监控位置只能对混合后的废气进行监测，则应执行各排放控制要求中最严格的规定。</w:t>
      </w:r>
    </w:p>
    <w:p>
      <w:pPr>
        <w:ind w:firstLine="480"/>
        <w:rPr>
          <w:lang w:val="zh-CN"/>
        </w:rPr>
      </w:pPr>
      <w:r>
        <w:rPr>
          <w:rFonts w:hint="eastAsia"/>
          <w:lang w:val="zh-CN"/>
        </w:rPr>
        <w:t>4）喷漆烤房采用更换式吸附处理工艺的，吸附剂的充填量或厚度应满足相关标准或规范的要求，吸附剂应充填均匀，防止沟流、短路。吸附剂（活性炭）更换和技术指标应满足下列公式和表7-3的要求。吸附剂的选择应符合HJ 2026的相关规定。</w:t>
      </w:r>
    </w:p>
    <w:p>
      <w:pPr>
        <w:ind w:firstLine="480"/>
      </w:pPr>
      <w:r>
        <w:rPr>
          <w:rFonts w:hint="eastAsia"/>
        </w:rPr>
        <w:t>汽车维修企业应参照公式（A.1）计算吸附剂（活性炭）更换周期。</w:t>
      </w:r>
    </w:p>
    <w:p>
      <w:pPr>
        <w:spacing w:line="360" w:lineRule="auto"/>
        <w:ind w:firstLine="0" w:firstLineChars="0"/>
        <w:jc w:val="right"/>
      </w:pPr>
      <w:r>
        <w:rPr>
          <w:rFonts w:hint="eastAsia"/>
        </w:rPr>
        <w:t xml:space="preserve"> </w:t>
      </w:r>
      <w:r>
        <w:rPr>
          <w:rFonts w:cs="Times New Roman"/>
          <w:szCs w:val="24"/>
        </w:rPr>
        <w:t xml:space="preserve"> </w:t>
      </w:r>
      <m:oMath>
        <m:r>
          <w:rPr>
            <w:rFonts w:ascii="Cambria Math" w:hAnsi="Cambria Math" w:cs="Times New Roman"/>
            <w:szCs w:val="24"/>
          </w:rPr>
          <m:t>T=</m:t>
        </m:r>
        <m:f>
          <m:fPr>
            <m:ctrlPr>
              <w:rPr>
                <w:rFonts w:ascii="Cambria Math" w:hAnsi="Cambria Math" w:cs="Times New Roman"/>
                <w:i/>
                <w:szCs w:val="24"/>
              </w:rPr>
            </m:ctrlPr>
          </m:fPr>
          <m:num>
            <m:r>
              <w:rPr>
                <w:rFonts w:ascii="Cambria Math" w:hAnsi="Cambria Math" w:cs="Times New Roman"/>
                <w:szCs w:val="24"/>
              </w:rPr>
              <m:t>M×s×</m:t>
            </m:r>
            <m:sSup>
              <m:sSupPr>
                <m:ctrlPr>
                  <w:rPr>
                    <w:rFonts w:ascii="Cambria Math" w:hAnsi="Cambria Math" w:cs="Times New Roman"/>
                    <w:i/>
                    <w:szCs w:val="24"/>
                  </w:rPr>
                </m:ctrlPr>
              </m:sSupPr>
              <m:e>
                <m:r>
                  <w:rPr>
                    <w:rFonts w:ascii="Cambria Math" w:hAnsi="Cambria Math" w:cs="Times New Roman"/>
                    <w:szCs w:val="24"/>
                  </w:rPr>
                  <m:t>10</m:t>
                </m:r>
                <m:ctrlPr>
                  <w:rPr>
                    <w:rFonts w:ascii="Cambria Math" w:hAnsi="Cambria Math" w:cs="Times New Roman"/>
                    <w:i/>
                    <w:szCs w:val="24"/>
                  </w:rPr>
                </m:ctrlPr>
              </m:e>
              <m:sup>
                <m:r>
                  <w:rPr>
                    <w:rFonts w:ascii="Cambria Math" w:hAnsi="Cambria Math" w:cs="Times New Roman"/>
                    <w:szCs w:val="24"/>
                  </w:rPr>
                  <m:t>6</m:t>
                </m:r>
                <m:ctrlPr>
                  <w:rPr>
                    <w:rFonts w:ascii="Cambria Math" w:hAnsi="Cambria Math" w:cs="Times New Roman"/>
                    <w:i/>
                    <w:szCs w:val="24"/>
                  </w:rPr>
                </m:ctrlPr>
              </m:sup>
            </m:sSup>
            <m:ctrlPr>
              <w:rPr>
                <w:rFonts w:ascii="Cambria Math" w:hAnsi="Cambria Math" w:cs="Times New Roman"/>
                <w:i/>
                <w:szCs w:val="24"/>
              </w:rPr>
            </m:ctrlPr>
          </m:num>
          <m:den>
            <m:r>
              <w:rPr>
                <w:rFonts w:ascii="Cambria Math" w:hAnsi="Cambria Math" w:cs="Times New Roman"/>
                <w:szCs w:val="24"/>
              </w:rPr>
              <m:t>c×Q×t</m:t>
            </m:r>
            <m:ctrlPr>
              <w:rPr>
                <w:rFonts w:ascii="Cambria Math" w:hAnsi="Cambria Math" w:cs="Times New Roman"/>
                <w:i/>
                <w:szCs w:val="24"/>
              </w:rPr>
            </m:ctrlPr>
          </m:den>
        </m:f>
      </m:oMath>
      <w:r>
        <w:rPr>
          <w:rFonts w:cs="Times New Roman"/>
          <w:szCs w:val="24"/>
        </w:rPr>
        <w:t xml:space="preserve">    </w:t>
      </w:r>
      <w:r>
        <w:t xml:space="preserve">                 </w:t>
      </w:r>
      <w:r>
        <w:rPr>
          <w:rFonts w:hint="eastAsia"/>
        </w:rPr>
        <w:t>（A.1）</w:t>
      </w:r>
    </w:p>
    <w:p>
      <w:pPr>
        <w:ind w:firstLine="480"/>
      </w:pPr>
      <w:r>
        <w:rPr>
          <w:rFonts w:hint="eastAsia"/>
        </w:rPr>
        <w:t>式中：T——更换周期，d；</w:t>
      </w:r>
    </w:p>
    <w:p>
      <w:pPr>
        <w:ind w:firstLine="480"/>
      </w:pPr>
      <w:r>
        <w:rPr>
          <w:rFonts w:hint="eastAsia"/>
        </w:rPr>
        <w:t xml:space="preserve">      M——吸附剂（活性炭）的用量，kg；</w:t>
      </w:r>
    </w:p>
    <w:p>
      <w:pPr>
        <w:ind w:firstLine="480"/>
      </w:pPr>
      <w:r>
        <w:rPr>
          <w:rFonts w:hint="eastAsia"/>
        </w:rPr>
        <w:t xml:space="preserve">      s——动态吸附量，%；（一般取值20%，若取值高于20%，应提供含有动态吸附量取值依据的吸附剂（活性炭）性能证明文件）；</w:t>
      </w:r>
    </w:p>
    <w:p>
      <w:pPr>
        <w:ind w:firstLine="480"/>
      </w:pPr>
      <w:r>
        <w:rPr>
          <w:rFonts w:hint="eastAsia"/>
        </w:rPr>
        <w:t xml:space="preserve">      c——进出口的VOCs浓度差，mg/m</w:t>
      </w:r>
      <w:r>
        <w:rPr>
          <w:rFonts w:hint="eastAsia"/>
          <w:vertAlign w:val="superscript"/>
        </w:rPr>
        <w:t>3</w:t>
      </w:r>
      <w:r>
        <w:rPr>
          <w:rFonts w:hint="eastAsia"/>
        </w:rPr>
        <w:t>；（按以下顺序优先采用按照监测规范要求获取的有效连续在线监测数据、便携式监测仪器现场执法监测数据、监督性监测数据、竣工验收监测数据及委托监测机构开展手动监测数据）；</w:t>
      </w:r>
    </w:p>
    <w:p>
      <w:pPr>
        <w:ind w:firstLine="480"/>
      </w:pPr>
      <w:r>
        <w:rPr>
          <w:rFonts w:hint="eastAsia"/>
        </w:rPr>
        <w:t xml:space="preserve">      Q——风量，m</w:t>
      </w:r>
      <w:r>
        <w:rPr>
          <w:rFonts w:hint="eastAsia"/>
          <w:vertAlign w:val="superscript"/>
        </w:rPr>
        <w:t>3</w:t>
      </w:r>
      <w:r>
        <w:rPr>
          <w:rFonts w:hint="eastAsia"/>
        </w:rPr>
        <w:t>/h；</w:t>
      </w:r>
    </w:p>
    <w:p>
      <w:pPr>
        <w:ind w:firstLine="480"/>
      </w:pPr>
      <w:r>
        <w:rPr>
          <w:rFonts w:hint="eastAsia"/>
        </w:rPr>
        <w:t xml:space="preserve">      t——运行时间，h/d。</w:t>
      </w:r>
    </w:p>
    <w:p>
      <w:pPr>
        <w:ind w:firstLine="0" w:firstLineChars="0"/>
        <w:jc w:val="center"/>
        <w:rPr>
          <w:b/>
          <w:sz w:val="21"/>
          <w:szCs w:val="21"/>
        </w:rPr>
      </w:pPr>
      <w:r>
        <w:rPr>
          <w:rFonts w:hint="eastAsia"/>
          <w:b/>
          <w:sz w:val="21"/>
          <w:szCs w:val="21"/>
        </w:rPr>
        <w:t>表7-3 吸附剂（活性炭）技术指标</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8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9" w:type="dxa"/>
            <w:vMerge w:val="restart"/>
            <w:vAlign w:val="center"/>
          </w:tcPr>
          <w:p>
            <w:pPr>
              <w:ind w:firstLine="0" w:firstLineChars="0"/>
              <w:jc w:val="center"/>
              <w:rPr>
                <w:rFonts w:cs="Times New Roman"/>
                <w:b/>
                <w:bCs/>
              </w:rPr>
            </w:pPr>
            <w:r>
              <w:rPr>
                <w:rFonts w:cs="Times New Roman"/>
                <w:b/>
                <w:bCs/>
              </w:rPr>
              <w:t>指标名称</w:t>
            </w:r>
          </w:p>
        </w:tc>
        <w:tc>
          <w:tcPr>
            <w:tcW w:w="5633" w:type="dxa"/>
            <w:gridSpan w:val="2"/>
            <w:vAlign w:val="center"/>
          </w:tcPr>
          <w:p>
            <w:pPr>
              <w:ind w:firstLine="0" w:firstLineChars="0"/>
              <w:jc w:val="center"/>
              <w:rPr>
                <w:rFonts w:cs="Times New Roman"/>
                <w:b/>
                <w:bCs/>
              </w:rPr>
            </w:pPr>
            <w:r>
              <w:rPr>
                <w:rFonts w:cs="Times New Roman"/>
                <w:b/>
                <w:bCs/>
              </w:rPr>
              <w:t>指标限值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9" w:type="dxa"/>
            <w:vMerge w:val="continue"/>
            <w:vAlign w:val="center"/>
          </w:tcPr>
          <w:p>
            <w:pPr>
              <w:ind w:firstLine="0" w:firstLineChars="0"/>
              <w:jc w:val="center"/>
              <w:rPr>
                <w:rFonts w:cs="Times New Roman"/>
                <w:b/>
                <w:bCs/>
              </w:rPr>
            </w:pPr>
          </w:p>
        </w:tc>
        <w:tc>
          <w:tcPr>
            <w:tcW w:w="2816" w:type="dxa"/>
            <w:vAlign w:val="center"/>
          </w:tcPr>
          <w:p>
            <w:pPr>
              <w:ind w:firstLine="0" w:firstLineChars="0"/>
              <w:jc w:val="center"/>
              <w:rPr>
                <w:rFonts w:cs="Times New Roman"/>
                <w:b/>
                <w:bCs/>
              </w:rPr>
            </w:pPr>
            <w:r>
              <w:rPr>
                <w:rFonts w:cs="Times New Roman"/>
                <w:b/>
                <w:bCs/>
              </w:rPr>
              <w:t>颗粒活性炭</w:t>
            </w:r>
          </w:p>
        </w:tc>
        <w:tc>
          <w:tcPr>
            <w:tcW w:w="2817" w:type="dxa"/>
            <w:vAlign w:val="center"/>
          </w:tcPr>
          <w:p>
            <w:pPr>
              <w:ind w:firstLine="0" w:firstLineChars="0"/>
              <w:jc w:val="center"/>
              <w:rPr>
                <w:rFonts w:cs="Times New Roman"/>
                <w:b/>
                <w:bCs/>
              </w:rPr>
            </w:pPr>
            <w:r>
              <w:rPr>
                <w:rFonts w:cs="Times New Roman"/>
                <w:b/>
                <w:bCs/>
              </w:rPr>
              <w:t>蜂窝活性炭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89" w:type="dxa"/>
            <w:vAlign w:val="center"/>
          </w:tcPr>
          <w:p>
            <w:pPr>
              <w:ind w:firstLine="0" w:firstLineChars="0"/>
              <w:jc w:val="center"/>
              <w:rPr>
                <w:rFonts w:cs="Times New Roman"/>
              </w:rPr>
            </w:pPr>
            <w:r>
              <w:rPr>
                <w:rFonts w:cs="Times New Roman"/>
              </w:rPr>
              <w:t>碘值/（mg/g）</w:t>
            </w:r>
          </w:p>
        </w:tc>
        <w:tc>
          <w:tcPr>
            <w:tcW w:w="2816" w:type="dxa"/>
            <w:vAlign w:val="center"/>
          </w:tcPr>
          <w:p>
            <w:pPr>
              <w:ind w:firstLine="0" w:firstLineChars="0"/>
              <w:jc w:val="center"/>
              <w:rPr>
                <w:rFonts w:cs="Times New Roman"/>
              </w:rPr>
            </w:pPr>
            <w:r>
              <w:rPr>
                <w:rFonts w:cs="Times New Roman"/>
              </w:rPr>
              <w:t>≥800</w:t>
            </w:r>
          </w:p>
        </w:tc>
        <w:tc>
          <w:tcPr>
            <w:tcW w:w="2817" w:type="dxa"/>
            <w:vAlign w:val="center"/>
          </w:tcPr>
          <w:p>
            <w:pPr>
              <w:ind w:firstLine="0" w:firstLineChars="0"/>
              <w:jc w:val="center"/>
              <w:rPr>
                <w:rFonts w:cs="Times New Roman"/>
              </w:rPr>
            </w:pPr>
            <w:r>
              <w:rPr>
                <w:rFonts w:cs="Times New Roman"/>
              </w:rPr>
              <w:t>≥650</w:t>
            </w:r>
          </w:p>
        </w:tc>
      </w:tr>
    </w:tbl>
    <w:p>
      <w:pPr>
        <w:ind w:firstLine="0" w:firstLineChars="0"/>
        <w:rPr>
          <w:lang w:val="zh-CN"/>
        </w:rPr>
      </w:pPr>
    </w:p>
    <w:p>
      <w:pPr>
        <w:ind w:firstLine="480"/>
        <w:rPr>
          <w:lang w:val="zh-CN"/>
        </w:rPr>
      </w:pPr>
      <w:r>
        <w:rPr>
          <w:rFonts w:hint="eastAsia"/>
          <w:lang w:val="zh-CN"/>
        </w:rPr>
        <w:t>5）汽车维修企业不应设置废气排放旁路、不得稀释排放。</w:t>
      </w:r>
    </w:p>
    <w:p>
      <w:pPr>
        <w:pStyle w:val="3"/>
        <w:spacing w:before="163" w:after="163"/>
        <w:rPr>
          <w:rFonts w:ascii="Times New Roman" w:hAnsi="Times New Roman" w:cs="Times New Roman"/>
        </w:rPr>
      </w:pPr>
      <w:bookmarkStart w:id="102" w:name="_Toc226540470"/>
      <w:r>
        <w:rPr>
          <w:rFonts w:hint="eastAsia" w:ascii="Times New Roman" w:hAnsi="Times New Roman" w:cs="Times New Roman"/>
        </w:rPr>
        <w:t>无</w:t>
      </w:r>
      <w:r>
        <w:rPr>
          <w:rFonts w:ascii="Times New Roman" w:hAnsi="Times New Roman" w:cs="Times New Roman"/>
        </w:rPr>
        <w:t>组织排放</w:t>
      </w:r>
      <w:r>
        <w:rPr>
          <w:rFonts w:hint="eastAsia" w:ascii="Times New Roman" w:hAnsi="Times New Roman" w:cs="Times New Roman"/>
        </w:rPr>
        <w:t>控制</w:t>
      </w:r>
      <w:r>
        <w:rPr>
          <w:rFonts w:ascii="Times New Roman" w:hAnsi="Times New Roman" w:cs="Times New Roman"/>
        </w:rPr>
        <w:t>要求</w:t>
      </w:r>
      <w:bookmarkEnd w:id="102"/>
    </w:p>
    <w:p>
      <w:pPr>
        <w:pStyle w:val="4"/>
        <w:spacing w:before="163" w:after="163"/>
      </w:pPr>
      <w:bookmarkStart w:id="103" w:name="_Toc226540471"/>
      <w:r>
        <w:rPr>
          <w:rFonts w:hint="eastAsia"/>
        </w:rPr>
        <w:t>污染物无组织排放限值要求及其确定</w:t>
      </w:r>
      <w:bookmarkEnd w:id="103"/>
    </w:p>
    <w:p>
      <w:pPr>
        <w:ind w:firstLine="480"/>
      </w:pPr>
      <w:r>
        <w:rPr>
          <w:rFonts w:hint="eastAsia"/>
        </w:rPr>
        <w:t>新建企业自文件实施之日起，现有企业自202X年X月X日起，厂区内无组织排放监控点VOCs浓度应执行表7-4规定的限值。</w:t>
      </w:r>
    </w:p>
    <w:p>
      <w:pPr>
        <w:ind w:firstLine="0" w:firstLineChars="0"/>
        <w:jc w:val="center"/>
        <w:rPr>
          <w:rFonts w:hint="eastAsia"/>
          <w:b/>
          <w:sz w:val="21"/>
          <w:szCs w:val="21"/>
        </w:rPr>
      </w:pPr>
    </w:p>
    <w:p>
      <w:pPr>
        <w:ind w:firstLine="0" w:firstLineChars="0"/>
        <w:jc w:val="center"/>
        <w:rPr>
          <w:b/>
          <w:sz w:val="21"/>
          <w:szCs w:val="21"/>
        </w:rPr>
      </w:pPr>
      <w:r>
        <w:rPr>
          <w:rFonts w:hint="eastAsia"/>
          <w:b/>
          <w:sz w:val="21"/>
          <w:szCs w:val="21"/>
        </w:rPr>
        <w:t>表7-4 厂区内VOCs无组织排放限值</w:t>
      </w:r>
    </w:p>
    <w:p>
      <w:pPr>
        <w:keepNext/>
        <w:spacing w:line="240" w:lineRule="auto"/>
        <w:ind w:firstLine="0" w:firstLineChars="0"/>
        <w:jc w:val="right"/>
        <w:rPr>
          <w:rFonts w:cs="Times New Roman"/>
          <w:b/>
          <w:bCs/>
          <w:szCs w:val="24"/>
        </w:rPr>
      </w:pPr>
      <w:r>
        <w:rPr>
          <w:rFonts w:hint="eastAsia" w:cs="Times New Roman"/>
          <w:szCs w:val="24"/>
        </w:rPr>
        <w:t>单位：</w:t>
      </w:r>
      <w:r>
        <w:rPr>
          <w:rFonts w:cs="Times New Roman"/>
          <w:szCs w:val="24"/>
        </w:rPr>
        <w:t>mg/m</w:t>
      </w:r>
      <w:r>
        <w:rPr>
          <w:rFonts w:cs="Times New Roman"/>
          <w:szCs w:val="24"/>
          <w:vertAlign w:val="superscript"/>
        </w:rPr>
        <w:t>3</w:t>
      </w:r>
      <w:r>
        <w:rPr>
          <w:rFonts w:hint="eastAsia" w:cs="Times New Roman"/>
          <w:szCs w:val="24"/>
        </w:rPr>
        <w:t xml:space="preserve"> </w:t>
      </w:r>
      <w:r>
        <w:rPr>
          <w:rFonts w:cs="Times New Roman"/>
          <w:b/>
          <w:bCs/>
          <w:szCs w:val="24"/>
        </w:rPr>
        <w:t xml:space="preserve"> </w:t>
      </w:r>
    </w:p>
    <w:tbl>
      <w:tblPr>
        <w:tblStyle w:val="9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308"/>
        <w:gridCol w:w="1244"/>
        <w:gridCol w:w="1134"/>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5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b/>
                <w:bCs/>
              </w:rPr>
            </w:pPr>
            <w:r>
              <w:rPr>
                <w:b/>
                <w:bCs/>
              </w:rPr>
              <w:t>污染物项目</w:t>
            </w:r>
          </w:p>
        </w:tc>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b/>
                <w:bCs/>
              </w:rPr>
            </w:pPr>
            <w:r>
              <w:rPr>
                <w:b/>
                <w:bCs/>
              </w:rPr>
              <w:t>苯</w:t>
            </w:r>
          </w:p>
        </w:tc>
        <w:tc>
          <w:tcPr>
            <w:tcW w:w="130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b/>
                <w:bCs/>
              </w:rPr>
            </w:pPr>
            <w:r>
              <w:rPr>
                <w:b/>
                <w:bCs/>
              </w:rPr>
              <w:t>苯系物</w:t>
            </w:r>
          </w:p>
        </w:tc>
        <w:tc>
          <w:tcPr>
            <w:tcW w:w="124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b/>
                <w:bCs/>
              </w:rPr>
            </w:pPr>
            <w:r>
              <w:rPr>
                <w:b/>
                <w:bCs/>
              </w:rPr>
              <w:t>颗粒物</w:t>
            </w:r>
          </w:p>
        </w:tc>
        <w:tc>
          <w:tcPr>
            <w:tcW w:w="29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b/>
                <w:bCs/>
              </w:rPr>
            </w:pPr>
            <w:r>
              <w:rPr>
                <w:b/>
                <w:bCs/>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5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pPr>
            <w:r>
              <w:t>限值含义</w:t>
            </w:r>
          </w:p>
        </w:tc>
        <w:tc>
          <w:tcPr>
            <w:tcW w:w="4961" w:type="dxa"/>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pPr>
            <w:r>
              <w:t>监控点处1小时（或1小时内）平均浓度值</w:t>
            </w:r>
          </w:p>
        </w:tc>
        <w:tc>
          <w:tcPr>
            <w:tcW w:w="17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pPr>
            <w:r>
              <w:t>监控点处任意一次浓度值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55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pPr>
            <w:r>
              <w:t>排放限值</w:t>
            </w:r>
          </w:p>
        </w:tc>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pPr>
            <w:r>
              <w:t>0.1</w:t>
            </w:r>
          </w:p>
        </w:tc>
        <w:tc>
          <w:tcPr>
            <w:tcW w:w="130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pPr>
            <w:r>
              <w:t>1</w:t>
            </w:r>
          </w:p>
        </w:tc>
        <w:tc>
          <w:tcPr>
            <w:tcW w:w="124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pPr>
            <w:r>
              <w:t>1</w:t>
            </w:r>
          </w:p>
        </w:tc>
        <w:tc>
          <w:tcPr>
            <w:tcW w:w="11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pPr>
            <w:r>
              <w:t>2</w:t>
            </w:r>
          </w:p>
        </w:tc>
        <w:tc>
          <w:tcPr>
            <w:tcW w:w="17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pPr>
            <w:r>
              <w:t>8</w:t>
            </w:r>
          </w:p>
        </w:tc>
      </w:tr>
    </w:tbl>
    <w:p>
      <w:pPr>
        <w:pStyle w:val="4"/>
        <w:spacing w:before="163" w:after="163"/>
      </w:pPr>
      <w:bookmarkStart w:id="104" w:name="_Toc226540472"/>
      <w:r>
        <w:rPr>
          <w:rFonts w:hint="eastAsia"/>
        </w:rPr>
        <w:t>无组织排放管控要求</w:t>
      </w:r>
      <w:bookmarkEnd w:id="104"/>
    </w:p>
    <w:p>
      <w:pPr>
        <w:ind w:firstLine="480"/>
      </w:pPr>
      <w:r>
        <w:rPr>
          <w:rFonts w:hint="eastAsia"/>
        </w:rPr>
        <w:t>（1）钣金应在专门的钣金工位进行，钣金工位需配置除尘设备，钣金全过程开启除尘设备进行收集处理。</w:t>
      </w:r>
    </w:p>
    <w:p>
      <w:pPr>
        <w:ind w:firstLine="480"/>
      </w:pPr>
      <w:r>
        <w:rPr>
          <w:rFonts w:hint="eastAsia"/>
        </w:rPr>
        <w:t>（2）</w:t>
      </w:r>
      <w:r>
        <w:rPr>
          <w:rFonts w:hint="eastAsia"/>
        </w:rPr>
        <w:tab/>
      </w:r>
      <w:r>
        <w:rPr>
          <w:rFonts w:hint="eastAsia"/>
        </w:rPr>
        <w:t>涂料、稀释剂、固化剂、清洗剂等VOCs物料应储存于密闭的容器、包装袋或储罐中。盛装VOCs物料的容器或包装袋应采取密闭措施，在物料非取用状态时应加盖、封口，保持密闭。VOCs物料的转移和输送过程应保持密闭。</w:t>
      </w:r>
    </w:p>
    <w:p>
      <w:pPr>
        <w:ind w:firstLine="480"/>
      </w:pPr>
      <w:r>
        <w:rPr>
          <w:rFonts w:hint="eastAsia"/>
        </w:rPr>
        <w:t>（3）调漆工序应在专门的调漆室内操作，安装集气系统将产生的废气导入VOCs处理设施。</w:t>
      </w:r>
    </w:p>
    <w:p>
      <w:pPr>
        <w:ind w:firstLine="480"/>
      </w:pPr>
      <w:r>
        <w:rPr>
          <w:rFonts w:hint="eastAsia"/>
        </w:rPr>
        <w:t>（4）</w:t>
      </w:r>
      <w:r>
        <w:rPr>
          <w:rFonts w:hint="eastAsia"/>
        </w:rPr>
        <w:tab/>
      </w:r>
      <w:r>
        <w:rPr>
          <w:rFonts w:hint="eastAsia"/>
        </w:rPr>
        <w:t>打腻子、喷漆、烘干、流平作业应采用密闭设备或采取封闭措施，产生的废气应收集并导入VOCs处理设施。</w:t>
      </w:r>
    </w:p>
    <w:p>
      <w:pPr>
        <w:ind w:firstLine="480"/>
      </w:pPr>
      <w:r>
        <w:rPr>
          <w:rFonts w:hint="eastAsia"/>
        </w:rPr>
        <w:t>（5）喷枪清洗应在密闭空间内进行或采用专用的密闭喷枪清洗设备，产生的废气应收集并导VOCs处理设施，清洗后的废液应密闭收集处理。</w:t>
      </w:r>
    </w:p>
    <w:p>
      <w:pPr>
        <w:ind w:firstLine="480"/>
      </w:pPr>
      <w:r>
        <w:rPr>
          <w:rFonts w:hint="eastAsia"/>
        </w:rPr>
        <w:t>（6）存放过含VOCs物料的容器或包装袋应加盖、密封，保持密闭。废溶剂、废吸附剂、沾有涂料或溶剂的废弃物应放入具有危险废物识别标志的密闭容器或包装袋中。贮存应按照GB 18597的相关要求执行。</w:t>
      </w:r>
    </w:p>
    <w:p>
      <w:pPr>
        <w:ind w:firstLine="480"/>
      </w:pPr>
      <w:r>
        <w:rPr>
          <w:rFonts w:hint="eastAsia"/>
        </w:rPr>
        <w:t>（7）</w:t>
      </w:r>
      <w:r>
        <w:rPr>
          <w:rFonts w:hint="eastAsia"/>
        </w:rPr>
        <w:tab/>
      </w:r>
      <w:r>
        <w:rPr>
          <w:rFonts w:hint="eastAsia"/>
        </w:rPr>
        <w:t>封闭区域或封闭式建筑物，除人员、车辆、设备、物料进出时，以及依法设立的排气筒、通风口外，门窗及其他开口（孔）部位应随时保持关闭状态。禁止露天或在开放式空间内进行喷漆、干燥作业。</w:t>
      </w:r>
    </w:p>
    <w:p>
      <w:pPr>
        <w:ind w:firstLine="480"/>
      </w:pPr>
      <w:r>
        <w:rPr>
          <w:rFonts w:hint="eastAsia"/>
        </w:rPr>
        <w:t>（8）VOCs废气收集系统风罩（集气罩）的设置应符合GB/T 16758的规定。采用外部排风罩时，应按GB/T 16758、WS/T 757规定的方法测量控制风速，测量点应选取在距排风罩开口面最远的VOCs无组织排放位置，控制风速不应低于0.3m/s。</w:t>
      </w:r>
    </w:p>
    <w:p>
      <w:pPr>
        <w:ind w:firstLine="480"/>
      </w:pPr>
      <w:r>
        <w:rPr>
          <w:rFonts w:hint="eastAsia"/>
        </w:rPr>
        <w:t>（9）针对采用湿法除漆雾的汽车维修企业，废水液面VOCs排放控制应符合GB 37822的规定</w:t>
      </w:r>
    </w:p>
    <w:p>
      <w:pPr>
        <w:ind w:firstLine="480"/>
      </w:pPr>
      <w:r>
        <w:rPr>
          <w:rFonts w:hint="eastAsia"/>
        </w:rPr>
        <w:t>（10）其他无组织排放控制要求按GB 37822规定执行。</w:t>
      </w:r>
    </w:p>
    <w:p>
      <w:pPr>
        <w:pStyle w:val="3"/>
        <w:spacing w:before="163" w:after="163"/>
        <w:rPr>
          <w:rFonts w:ascii="Times New Roman" w:hAnsi="Times New Roman" w:cs="Times New Roman"/>
        </w:rPr>
      </w:pPr>
      <w:bookmarkStart w:id="105" w:name="_Toc226540474"/>
      <w:r>
        <w:rPr>
          <w:rFonts w:hint="eastAsia" w:ascii="Times New Roman" w:hAnsi="Times New Roman" w:cs="Times New Roman"/>
        </w:rPr>
        <w:t>台账要求</w:t>
      </w:r>
      <w:bookmarkEnd w:id="105"/>
    </w:p>
    <w:p>
      <w:pPr>
        <w:ind w:firstLine="480"/>
      </w:pPr>
      <w:r>
        <w:rPr>
          <w:rFonts w:hint="eastAsia"/>
        </w:rPr>
        <w:t>（1）企业应按照《排污许可管理办法》、GB 37822和HJ 944要求建立台账，保存期限不少于5年。</w:t>
      </w:r>
    </w:p>
    <w:p>
      <w:pPr>
        <w:ind w:firstLine="480"/>
      </w:pPr>
      <w:r>
        <w:rPr>
          <w:rFonts w:hint="eastAsia"/>
        </w:rPr>
        <w:t>（2）涂料、稀释剂、胶粘剂、固化剂、清洗剂等原辅材料台账应包括名称、类别、使用量、回收量、废弃量、每种处于施工状态下含VOCs原辅材料的VOCs含量报告和使用说明，其中VOCs含量报告以有相关国家单位认定资质的检验检测机构出具的为准；各类含VOCs原辅材料的来源及使用证明等资料。</w:t>
      </w:r>
    </w:p>
    <w:p>
      <w:pPr>
        <w:ind w:firstLine="480"/>
      </w:pPr>
      <w:r>
        <w:rPr>
          <w:rFonts w:hint="eastAsia"/>
        </w:rPr>
        <w:t>（3）有组织管控台账应包括生产工艺设备和废气收集处理系统主要运行和维护信息，污染治理设施的记录台账应包括运行参数、进出口风量、排放浓度（汽车维修企业自行监测报告）、污染因子、停运时间等，吸附装置应记录吸附剂种类、碘值、更换/再生周期与更换量、操作温度等；热力燃烧装置应实时记录燃烧温度曲线、烟气停留时间和烟气含氧量等；催化氧化装置应记录催化剂种类、催化剂更换日期、操作温度等；其他污染治理设施，应记录维护事项，并每日记录主要操作参数；过滤材料应记录更换和处置记录。保存相关合同、票据。</w:t>
      </w:r>
    </w:p>
    <w:p>
      <w:pPr>
        <w:ind w:firstLine="480"/>
      </w:pPr>
      <w:r>
        <w:rPr>
          <w:rFonts w:hint="eastAsia"/>
        </w:rPr>
        <w:t>（4）无组织管控台账应包括无组织排放废气收集系统、无组织排放控制措施的主要运行信息，如运行时间等；记录无组织排放监控点浓度；记录废溶剂、废吸附剂、沾有涂料或溶剂的棉纱/抹布等危险废弃物的处理量和去向，保存相关合同、票据。</w:t>
      </w:r>
    </w:p>
    <w:p>
      <w:pPr>
        <w:pStyle w:val="3"/>
        <w:spacing w:before="163" w:after="163"/>
        <w:rPr>
          <w:rFonts w:ascii="Times New Roman" w:hAnsi="Times New Roman" w:cs="Times New Roman"/>
        </w:rPr>
      </w:pPr>
      <w:bookmarkStart w:id="106" w:name="_Toc226540475"/>
      <w:r>
        <w:rPr>
          <w:rFonts w:hint="eastAsia" w:ascii="Times New Roman" w:hAnsi="Times New Roman" w:cs="Times New Roman"/>
        </w:rPr>
        <w:t>监测要求</w:t>
      </w:r>
      <w:bookmarkEnd w:id="106"/>
    </w:p>
    <w:p>
      <w:pPr>
        <w:pStyle w:val="4"/>
        <w:spacing w:before="163" w:after="163"/>
      </w:pPr>
      <w:bookmarkStart w:id="107" w:name="_Toc226540476"/>
      <w:r>
        <w:rPr>
          <w:rFonts w:hint="eastAsia"/>
        </w:rPr>
        <w:t>一般要求</w:t>
      </w:r>
      <w:bookmarkEnd w:id="107"/>
    </w:p>
    <w:p>
      <w:pPr>
        <w:ind w:firstLine="480"/>
      </w:pPr>
      <w:r>
        <w:rPr>
          <w:rFonts w:hint="eastAsia"/>
        </w:rPr>
        <w:t>（1）汽车维修企业应按照有关法律、《环境监测管理办法》和HJ 819等规定，建立企业监测制度，制定监测方案，对污染物排放状况及其对周边环境质量的影响开展自行监测，保存原始监测记录，并公布监测结果。</w:t>
      </w:r>
    </w:p>
    <w:p>
      <w:pPr>
        <w:ind w:firstLine="480"/>
      </w:pPr>
      <w:r>
        <w:rPr>
          <w:rFonts w:hint="eastAsia"/>
        </w:rPr>
        <w:t>（2）新建企业和现有企业安装、使用、维护污染物排放自动监测设备的，应按照排污许可证规定的要求执行。</w:t>
      </w:r>
    </w:p>
    <w:p>
      <w:pPr>
        <w:pStyle w:val="4"/>
        <w:spacing w:before="163" w:after="163"/>
      </w:pPr>
      <w:bookmarkStart w:id="108" w:name="_Toc226540477"/>
      <w:r>
        <w:rPr>
          <w:rFonts w:hint="eastAsia"/>
        </w:rPr>
        <w:t>有组织排放监测要求</w:t>
      </w:r>
      <w:bookmarkEnd w:id="108"/>
    </w:p>
    <w:p>
      <w:pPr>
        <w:ind w:firstLine="480"/>
      </w:pPr>
      <w:r>
        <w:rPr>
          <w:rFonts w:hint="eastAsia"/>
        </w:rPr>
        <w:t>（1）排气筒出口应按照GB/T 16157的规定设置永久采样监测孔、采样平台及其相关设施。若处理设施处理多个来源的废气时，应在废气合并后进入处理设施前的总管上设置采样孔。</w:t>
      </w:r>
    </w:p>
    <w:p>
      <w:pPr>
        <w:ind w:firstLine="480"/>
      </w:pPr>
      <w:r>
        <w:rPr>
          <w:rFonts w:hint="eastAsia"/>
        </w:rPr>
        <w:t>（2）排气筒中大气污染物的监测采样应当按照 GB/T 16157、HJ/T 397、HJ 732、HJ/T 373、HJ 1286、HJ 836和有关国家规定执行</w:t>
      </w:r>
    </w:p>
    <w:p>
      <w:pPr>
        <w:ind w:firstLine="480"/>
      </w:pPr>
      <w:r>
        <w:rPr>
          <w:rFonts w:hint="eastAsia"/>
        </w:rPr>
        <w:t>（3）本文件规定的排气简中污染物浓度限值和处理效率是指喷烤漆作业时段内不得超过的值，可以在喷烤漆时段内实行连续监测1小时获取平均值，对于间歇式排放且排放时间小于1小时的，则应在排放阶段实现连续采样，或以等时间间隔采集3~4个样品并计算平均值。采样期间的工况应与日常实际运行工况相同。</w:t>
      </w:r>
    </w:p>
    <w:p>
      <w:pPr>
        <w:pStyle w:val="4"/>
        <w:spacing w:before="163" w:after="163"/>
      </w:pPr>
      <w:bookmarkStart w:id="109" w:name="_Toc226540478"/>
      <w:r>
        <w:rPr>
          <w:rFonts w:hint="eastAsia"/>
        </w:rPr>
        <w:t>无组织排放监测要求</w:t>
      </w:r>
      <w:bookmarkEnd w:id="109"/>
    </w:p>
    <w:p>
      <w:pPr>
        <w:ind w:firstLine="480"/>
      </w:pPr>
      <w:r>
        <w:rPr>
          <w:rFonts w:hint="eastAsia"/>
        </w:rPr>
        <w:t>（1）对厂区内大气污染物无组织排放进行监控时，在调漆房、喷烤漆房等密闭场所的门窗或通风口、其他开口（孔）等排放口外1m，距离地面1.5m以上位置处进行监测。若调漆房、喷烤漆房等密闭场所不完整（如有顶无围墙），则在操作工位下风向 1m，距离地面1.5m以上位置处进行监测。</w:t>
      </w:r>
    </w:p>
    <w:p>
      <w:pPr>
        <w:ind w:firstLine="480"/>
      </w:pPr>
      <w:r>
        <w:rPr>
          <w:rFonts w:hint="eastAsia"/>
        </w:rPr>
        <w:t>（2）厂区内无组织排放监控点位任意1小时平均浓度的监测应采用HI 604、HJ/T 55规定的方法，以连续1小时采样或监测获取平均值，或在1小时内以等时间间隔采集3~4个样品或取得3~4次测定值计平均值。NMHC任意一次浓度值的监测应按照HJ 604规定的方法采用容积不少于1L的气袋采集1个样品的测定值，或便携式仪器监测的相关规定执行。</w:t>
      </w:r>
      <w:bookmarkStart w:id="110" w:name="_Toc226540479"/>
      <w:r>
        <w:rPr>
          <w:rFonts w:hint="eastAsia"/>
        </w:rPr>
        <w:t>大气污染物测定方法</w:t>
      </w:r>
      <w:bookmarkEnd w:id="110"/>
    </w:p>
    <w:p>
      <w:pPr>
        <w:keepNext/>
        <w:ind w:firstLine="480"/>
      </w:pPr>
      <w:r>
        <w:rPr>
          <w:rFonts w:hint="eastAsia"/>
        </w:rPr>
        <w:t>对污染物排放浓度的测定采用表5所列的方法文件。本标准实施后国家或地方发布的污染物监测方法文件，如适用性满足要求，同样适用于本文件相应污染物的测定。</w:t>
      </w:r>
    </w:p>
    <w:p>
      <w:pPr>
        <w:keepNext/>
        <w:ind w:firstLine="0" w:firstLineChars="0"/>
        <w:jc w:val="center"/>
        <w:rPr>
          <w:b/>
          <w:sz w:val="21"/>
          <w:szCs w:val="21"/>
        </w:rPr>
      </w:pPr>
      <w:r>
        <w:rPr>
          <w:b/>
          <w:sz w:val="21"/>
          <w:szCs w:val="21"/>
        </w:rPr>
        <w:t>表</w:t>
      </w:r>
      <w:r>
        <w:rPr>
          <w:rFonts w:hint="eastAsia"/>
          <w:b/>
          <w:sz w:val="21"/>
          <w:szCs w:val="21"/>
        </w:rPr>
        <w:t xml:space="preserve">7-5 </w:t>
      </w:r>
      <w:r>
        <w:rPr>
          <w:b/>
          <w:sz w:val="21"/>
          <w:szCs w:val="21"/>
        </w:rPr>
        <w:t>污染物测定方法</w:t>
      </w:r>
    </w:p>
    <w:tbl>
      <w:tblPr>
        <w:tblStyle w:val="3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67"/>
        <w:gridCol w:w="595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62" w:type="dxa"/>
            <w:tcBorders>
              <w:tl2br w:val="nil"/>
              <w:tr2bl w:val="nil"/>
            </w:tcBorders>
            <w:shd w:val="clear" w:color="auto" w:fill="auto"/>
            <w:vAlign w:val="center"/>
          </w:tcPr>
          <w:p>
            <w:pPr>
              <w:keepNext/>
              <w:spacing w:line="240" w:lineRule="auto"/>
              <w:ind w:firstLine="0" w:firstLineChars="0"/>
              <w:jc w:val="center"/>
              <w:rPr>
                <w:rFonts w:cs="Times New Roman"/>
                <w:b/>
                <w:bCs/>
                <w:sz w:val="21"/>
                <w:szCs w:val="21"/>
              </w:rPr>
            </w:pPr>
            <w:bookmarkStart w:id="111" w:name="_Hlk36197090"/>
            <w:r>
              <w:rPr>
                <w:rFonts w:cs="Times New Roman"/>
                <w:b/>
                <w:bCs/>
                <w:sz w:val="21"/>
                <w:szCs w:val="21"/>
              </w:rPr>
              <w:t>序号</w:t>
            </w:r>
          </w:p>
        </w:tc>
        <w:tc>
          <w:tcPr>
            <w:tcW w:w="567" w:type="dxa"/>
            <w:tcBorders>
              <w:tl2br w:val="nil"/>
              <w:tr2bl w:val="nil"/>
            </w:tcBorders>
            <w:shd w:val="clear" w:color="auto" w:fill="auto"/>
            <w:vAlign w:val="center"/>
          </w:tcPr>
          <w:p>
            <w:pPr>
              <w:keepNext/>
              <w:spacing w:line="240" w:lineRule="auto"/>
              <w:ind w:firstLine="0" w:firstLineChars="0"/>
              <w:jc w:val="center"/>
              <w:rPr>
                <w:rFonts w:cs="Times New Roman"/>
                <w:b/>
                <w:bCs/>
                <w:sz w:val="21"/>
                <w:szCs w:val="21"/>
              </w:rPr>
            </w:pPr>
            <w:r>
              <w:rPr>
                <w:rFonts w:cs="Times New Roman"/>
                <w:b/>
                <w:bCs/>
                <w:sz w:val="21"/>
                <w:szCs w:val="21"/>
              </w:rPr>
              <w:t>污染物</w:t>
            </w:r>
          </w:p>
        </w:tc>
        <w:tc>
          <w:tcPr>
            <w:tcW w:w="5954" w:type="dxa"/>
            <w:tcBorders>
              <w:tl2br w:val="nil"/>
              <w:tr2bl w:val="nil"/>
            </w:tcBorders>
            <w:shd w:val="clear" w:color="auto" w:fill="auto"/>
            <w:vAlign w:val="center"/>
          </w:tcPr>
          <w:p>
            <w:pPr>
              <w:keepNext/>
              <w:spacing w:line="240" w:lineRule="auto"/>
              <w:ind w:firstLine="0" w:firstLineChars="0"/>
              <w:jc w:val="center"/>
              <w:rPr>
                <w:rFonts w:cs="Times New Roman"/>
                <w:b/>
                <w:bCs/>
                <w:sz w:val="21"/>
                <w:szCs w:val="21"/>
              </w:rPr>
            </w:pPr>
            <w:r>
              <w:rPr>
                <w:rFonts w:cs="Times New Roman"/>
                <w:b/>
                <w:bCs/>
                <w:sz w:val="21"/>
                <w:szCs w:val="21"/>
              </w:rPr>
              <w:t>标准名称</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b/>
                <w:bCs/>
                <w:sz w:val="21"/>
                <w:szCs w:val="21"/>
              </w:rPr>
            </w:pPr>
            <w:r>
              <w:rPr>
                <w:rFonts w:cs="Times New Roman"/>
                <w:b/>
                <w:bCs/>
                <w:sz w:val="21"/>
                <w:szCs w:val="21"/>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1</w:t>
            </w:r>
          </w:p>
        </w:tc>
        <w:tc>
          <w:tcPr>
            <w:tcW w:w="567"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cs="Times New Roman"/>
                <w:sz w:val="21"/>
                <w:szCs w:val="21"/>
              </w:rPr>
              <w:t>苯</w:t>
            </w:r>
            <w:r>
              <w:rPr>
                <w:rFonts w:hint="eastAsia" w:cs="Times New Roman"/>
                <w:sz w:val="21"/>
                <w:szCs w:val="21"/>
              </w:rPr>
              <w:t>、</w:t>
            </w:r>
          </w:p>
          <w:p>
            <w:pPr>
              <w:keepNext/>
              <w:spacing w:line="240" w:lineRule="auto"/>
              <w:ind w:firstLine="0" w:firstLineChars="0"/>
              <w:jc w:val="center"/>
              <w:rPr>
                <w:rFonts w:cs="Times New Roman"/>
                <w:sz w:val="21"/>
                <w:szCs w:val="21"/>
              </w:rPr>
            </w:pPr>
            <w:r>
              <w:rPr>
                <w:rFonts w:cs="Times New Roman"/>
                <w:sz w:val="21"/>
                <w:szCs w:val="21"/>
              </w:rPr>
              <w:t>苯系物</w:t>
            </w: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fldChar w:fldCharType="begin"/>
            </w:r>
            <w:r>
              <w:instrText xml:space="preserve"> HYPERLINK "http://kjs.mep.gov.cn/hjbhbz/bzwb/dqhjbh/jcgfffbz/201010/t20101008_195273.htm" \t "_blank" </w:instrText>
            </w:r>
            <w:r>
              <w:fldChar w:fldCharType="separate"/>
            </w:r>
            <w:r>
              <w:rPr>
                <w:rFonts w:cs="Times New Roman"/>
                <w:kern w:val="0"/>
                <w:sz w:val="21"/>
                <w:szCs w:val="21"/>
              </w:rPr>
              <w:t>环境空气  苯系物的测定  固体吸附/热脱附-气相色谱法</w:t>
            </w:r>
            <w:r>
              <w:rPr>
                <w:rFonts w:cs="Times New Roman"/>
                <w:kern w:val="0"/>
                <w:sz w:val="21"/>
                <w:szCs w:val="21"/>
              </w:rPr>
              <w:fldChar w:fldCharType="end"/>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fldChar w:fldCharType="begin"/>
            </w:r>
            <w:r>
              <w:instrText xml:space="preserve"> HYPERLINK "http://kjs.mep.gov.cn/hjbhbz/bzwb/dqhjbh/jcgfffbz/201010/t20101008_195274.htm" \t "_blank" </w:instrText>
            </w:r>
            <w:r>
              <w:fldChar w:fldCharType="separate"/>
            </w:r>
            <w:r>
              <w:rPr>
                <w:rFonts w:cs="Times New Roman"/>
                <w:kern w:val="0"/>
                <w:sz w:val="21"/>
                <w:szCs w:val="21"/>
              </w:rPr>
              <w:t>环境空气  苯系物的测定  活性炭吸附/二硫化碳解吸-气相色谱法</w:t>
            </w:r>
            <w:r>
              <w:rPr>
                <w:rFonts w:cs="Times New Roman"/>
                <w:kern w:val="0"/>
                <w:sz w:val="21"/>
                <w:szCs w:val="21"/>
              </w:rPr>
              <w:fldChar w:fldCharType="end"/>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kern w:val="0"/>
                <w:sz w:val="21"/>
                <w:szCs w:val="21"/>
              </w:rPr>
            </w:pPr>
            <w:r>
              <w:rPr>
                <w:rFonts w:cs="Times New Roman"/>
                <w:kern w:val="0"/>
                <w:sz w:val="21"/>
                <w:szCs w:val="21"/>
              </w:rPr>
              <w:t>环境空气  挥发性有机物的测定  吸附管采样-热脱附/气相色谱-质谱法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fldChar w:fldCharType="begin"/>
            </w:r>
            <w:r>
              <w:instrText xml:space="preserve"> HYPERLINK "http://kjs.mep.gov.cn/hjbhbz/bzwb/dqhjbh/jcgfffbz/201501/t20150115_294225.htm" \t "_blank" </w:instrText>
            </w:r>
            <w:r>
              <w:fldChar w:fldCharType="separate"/>
            </w:r>
            <w:r>
              <w:rPr>
                <w:rFonts w:cs="Times New Roman"/>
                <w:kern w:val="0"/>
                <w:sz w:val="21"/>
                <w:szCs w:val="21"/>
              </w:rPr>
              <w:t>固定污染源废气  挥发性有机物的测定  固相吸附-热脱附/气相色谱-质谱法</w:t>
            </w:r>
            <w:r>
              <w:rPr>
                <w:rFonts w:cs="Times New Roman"/>
                <w:kern w:val="0"/>
                <w:sz w:val="21"/>
                <w:szCs w:val="21"/>
              </w:rPr>
              <w:fldChar w:fldCharType="end"/>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环境空气  挥发性有机物的测定  罐采样/气相色谱-质谱法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hint="eastAsia" w:cs="Times New Roman"/>
                <w:kern w:val="0"/>
                <w:sz w:val="21"/>
                <w:szCs w:val="21"/>
              </w:rPr>
              <w:t>固定污染源废气 苯系物的测定 气袋采样 直接进样</w:t>
            </w:r>
            <w:r>
              <w:rPr>
                <w:rFonts w:cs="Times New Roman"/>
                <w:kern w:val="0"/>
                <w:sz w:val="21"/>
                <w:szCs w:val="21"/>
              </w:rPr>
              <w:t>-</w:t>
            </w:r>
            <w:r>
              <w:rPr>
                <w:rFonts w:hint="eastAsia" w:cs="Times New Roman"/>
                <w:kern w:val="0"/>
                <w:sz w:val="21"/>
                <w:szCs w:val="21"/>
              </w:rPr>
              <w:t>气相色谱法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1261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2</w:t>
            </w:r>
          </w:p>
        </w:tc>
        <w:tc>
          <w:tcPr>
            <w:tcW w:w="567"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cs="Times New Roman"/>
                <w:sz w:val="21"/>
                <w:szCs w:val="21"/>
              </w:rPr>
              <w:t>非甲烷总烃</w:t>
            </w: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固定污染源废气 总烃、甲烷和非甲烷总烃的测定 气相色谱法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环境空气 总烃、甲烷和非甲烷总烃的测定 直接进样-气相色谱法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环境空气和废气 总烃、甲烷和非甲烷总烃便携式监测仪技术要求及检测方法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bookmarkStart w:id="112" w:name="_Hlk1919400"/>
            <w:r>
              <w:rPr>
                <w:rFonts w:cs="Times New Roman"/>
                <w:kern w:val="0"/>
                <w:sz w:val="21"/>
                <w:szCs w:val="21"/>
              </w:rPr>
              <w:t>固定污染源废气非甲烷总烃连续监测系统技术要求及检测方法</w:t>
            </w:r>
            <w:bookmarkEnd w:id="112"/>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固定污染源废气</w:t>
            </w:r>
            <w:r>
              <w:rPr>
                <w:rFonts w:hint="eastAsia" w:cs="Times New Roman"/>
                <w:kern w:val="0"/>
                <w:sz w:val="21"/>
                <w:szCs w:val="21"/>
              </w:rPr>
              <w:t xml:space="preserve"> </w:t>
            </w:r>
            <w:r>
              <w:rPr>
                <w:rFonts w:cs="Times New Roman"/>
                <w:kern w:val="0"/>
                <w:sz w:val="21"/>
                <w:szCs w:val="21"/>
              </w:rPr>
              <w:t>总烃、甲烷和非甲烷总烃的测定</w:t>
            </w:r>
            <w:r>
              <w:rPr>
                <w:rFonts w:hint="eastAsia" w:cs="Times New Roman"/>
                <w:kern w:val="0"/>
                <w:sz w:val="21"/>
                <w:szCs w:val="21"/>
              </w:rPr>
              <w:t xml:space="preserve"> </w:t>
            </w:r>
            <w:r>
              <w:rPr>
                <w:rFonts w:cs="Times New Roman"/>
                <w:kern w:val="0"/>
                <w:sz w:val="21"/>
                <w:szCs w:val="21"/>
              </w:rPr>
              <w:t>便携式催化氧化-氢火焰离子化检测器法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固定污染源废气</w:t>
            </w:r>
            <w:r>
              <w:rPr>
                <w:rFonts w:hint="eastAsia" w:cs="Times New Roman"/>
                <w:kern w:val="0"/>
                <w:sz w:val="21"/>
                <w:szCs w:val="21"/>
              </w:rPr>
              <w:t xml:space="preserve"> </w:t>
            </w:r>
            <w:r>
              <w:rPr>
                <w:rFonts w:cs="Times New Roman"/>
                <w:kern w:val="0"/>
                <w:sz w:val="21"/>
                <w:szCs w:val="21"/>
              </w:rPr>
              <w:t>总烃、甲烷和非甲烷总烃的测定</w:t>
            </w:r>
            <w:r>
              <w:rPr>
                <w:rFonts w:hint="eastAsia" w:cs="Times New Roman"/>
                <w:kern w:val="0"/>
                <w:sz w:val="21"/>
                <w:szCs w:val="21"/>
              </w:rPr>
              <w:t xml:space="preserve"> </w:t>
            </w:r>
            <w:r>
              <w:rPr>
                <w:rFonts w:cs="Times New Roman"/>
                <w:kern w:val="0"/>
                <w:sz w:val="21"/>
                <w:szCs w:val="21"/>
              </w:rPr>
              <w:t>便携式气相色谱-氢火焰离子化检测器法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3</w:t>
            </w:r>
          </w:p>
        </w:tc>
        <w:tc>
          <w:tcPr>
            <w:tcW w:w="567"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cs="Times New Roman"/>
                <w:sz w:val="21"/>
                <w:szCs w:val="21"/>
              </w:rPr>
              <w:t>颗粒物</w:t>
            </w:r>
          </w:p>
        </w:tc>
        <w:tc>
          <w:tcPr>
            <w:tcW w:w="5954" w:type="dxa"/>
            <w:tcBorders>
              <w:tl2br w:val="nil"/>
              <w:tr2bl w:val="nil"/>
            </w:tcBorders>
            <w:shd w:val="clear" w:color="auto" w:fill="auto"/>
            <w:vAlign w:val="center"/>
          </w:tcPr>
          <w:p>
            <w:pPr>
              <w:keepNext/>
              <w:spacing w:line="240" w:lineRule="auto"/>
              <w:ind w:firstLine="0" w:firstLineChars="0"/>
              <w:rPr>
                <w:rFonts w:cs="Times New Roman"/>
                <w:kern w:val="0"/>
                <w:sz w:val="21"/>
                <w:szCs w:val="21"/>
              </w:rPr>
            </w:pPr>
            <w:r>
              <w:rPr>
                <w:rFonts w:cs="Times New Roman"/>
                <w:kern w:val="0"/>
                <w:sz w:val="21"/>
                <w:szCs w:val="21"/>
              </w:rPr>
              <w:t>固定污染源排气中颗粒物测定与气态污染物采样方法</w:t>
            </w:r>
            <w:r>
              <w:rPr>
                <w:rFonts w:cs="Times New Roman"/>
                <w:sz w:val="21"/>
                <w:szCs w:val="21"/>
              </w:rPr>
              <w:t xml:space="preserve">  重量法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GB/T 16157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rPr>
                <w:rFonts w:cs="Times New Roman"/>
                <w:sz w:val="21"/>
                <w:szCs w:val="21"/>
              </w:rPr>
            </w:pPr>
          </w:p>
        </w:tc>
        <w:tc>
          <w:tcPr>
            <w:tcW w:w="5954" w:type="dxa"/>
            <w:tcBorders>
              <w:tl2br w:val="nil"/>
              <w:tr2bl w:val="nil"/>
            </w:tcBorders>
            <w:shd w:val="clear" w:color="auto" w:fill="auto"/>
            <w:vAlign w:val="center"/>
          </w:tcPr>
          <w:p>
            <w:pPr>
              <w:keepNext/>
              <w:adjustRightInd w:val="0"/>
              <w:spacing w:line="240" w:lineRule="auto"/>
              <w:ind w:firstLine="0" w:firstLineChars="0"/>
              <w:jc w:val="left"/>
              <w:rPr>
                <w:rFonts w:cs="Times New Roman"/>
                <w:kern w:val="0"/>
                <w:sz w:val="21"/>
                <w:szCs w:val="21"/>
              </w:rPr>
            </w:pPr>
            <w:r>
              <w:rPr>
                <w:rFonts w:cs="Times New Roman"/>
                <w:kern w:val="0"/>
                <w:sz w:val="21"/>
                <w:szCs w:val="21"/>
              </w:rPr>
              <w:t>固定污染源废气  低浓度颗粒物的测定  重量法</w:t>
            </w:r>
          </w:p>
        </w:tc>
        <w:tc>
          <w:tcPr>
            <w:tcW w:w="1276" w:type="dxa"/>
            <w:tcBorders>
              <w:tl2br w:val="nil"/>
              <w:tr2bl w:val="nil"/>
            </w:tcBorders>
            <w:shd w:val="clear" w:color="auto" w:fill="auto"/>
            <w:vAlign w:val="center"/>
          </w:tcPr>
          <w:p>
            <w:pPr>
              <w:keepNext/>
              <w:adjustRightInd w:val="0"/>
              <w:spacing w:line="240" w:lineRule="auto"/>
              <w:ind w:firstLine="0" w:firstLineChars="0"/>
              <w:jc w:val="center"/>
              <w:rPr>
                <w:rFonts w:cs="Times New Roman"/>
                <w:kern w:val="0"/>
                <w:sz w:val="21"/>
                <w:szCs w:val="21"/>
              </w:rPr>
            </w:pPr>
            <w:r>
              <w:rPr>
                <w:rFonts w:cs="Times New Roman"/>
                <w:kern w:val="0"/>
                <w:sz w:val="21"/>
                <w:szCs w:val="21"/>
              </w:rPr>
              <w:t>HJ 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4</w:t>
            </w:r>
          </w:p>
        </w:tc>
        <w:tc>
          <w:tcPr>
            <w:tcW w:w="567"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二氧化硫</w:t>
            </w: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 xml:space="preserve">固定污染源排气中二氧化硫的测定 碘量法 </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HJ/T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固定污染源废气 二氧化硫的测定 定电位电解法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固定污染源废气 二氧化硫的测定 便携式紫外吸收法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 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5</w:t>
            </w:r>
          </w:p>
        </w:tc>
        <w:tc>
          <w:tcPr>
            <w:tcW w:w="567" w:type="dxa"/>
            <w:vMerge w:val="restart"/>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氮氧化物</w:t>
            </w: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固定污染源废气 氮氧化物的测定 非分散红外吸收法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 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固定污染源废气 氮氧化物的测定 定电位电解法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 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固定污染源排气中氮氧化物的测定 紫外分光光度法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HJ/T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固定污染源排气中氮氧化物的测定 盐酸萘乙二胺分光光度法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cs="Times New Roman"/>
                <w:sz w:val="21"/>
                <w:szCs w:val="21"/>
              </w:rPr>
              <w:t>H</w:t>
            </w:r>
            <w:r>
              <w:rPr>
                <w:rFonts w:hint="eastAsia" w:cs="Times New Roman"/>
                <w:sz w:val="21"/>
                <w:szCs w:val="21"/>
              </w:rPr>
              <w:t>J/T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67" w:type="dxa"/>
            <w:vMerge w:val="continue"/>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p>
        </w:tc>
        <w:tc>
          <w:tcPr>
            <w:tcW w:w="5954" w:type="dxa"/>
            <w:tcBorders>
              <w:tl2br w:val="nil"/>
              <w:tr2bl w:val="nil"/>
            </w:tcBorders>
            <w:shd w:val="clear" w:color="auto" w:fill="auto"/>
            <w:vAlign w:val="center"/>
          </w:tcPr>
          <w:p>
            <w:pPr>
              <w:keepNext/>
              <w:spacing w:line="240" w:lineRule="auto"/>
              <w:ind w:firstLine="0" w:firstLineChars="0"/>
              <w:rPr>
                <w:rFonts w:cs="Times New Roman"/>
                <w:sz w:val="21"/>
                <w:szCs w:val="21"/>
              </w:rPr>
            </w:pPr>
            <w:r>
              <w:rPr>
                <w:rFonts w:hint="eastAsia" w:cs="Times New Roman"/>
                <w:sz w:val="21"/>
                <w:szCs w:val="21"/>
              </w:rPr>
              <w:t>固定污染源废气 氮氧化物的测定 便携式紫外吸收法</w:t>
            </w:r>
          </w:p>
        </w:tc>
        <w:tc>
          <w:tcPr>
            <w:tcW w:w="1276" w:type="dxa"/>
            <w:tcBorders>
              <w:tl2br w:val="nil"/>
              <w:tr2bl w:val="nil"/>
            </w:tcBorders>
            <w:shd w:val="clear" w:color="auto" w:fill="auto"/>
            <w:vAlign w:val="center"/>
          </w:tcPr>
          <w:p>
            <w:pPr>
              <w:keepNext/>
              <w:spacing w:line="240" w:lineRule="auto"/>
              <w:ind w:firstLine="0" w:firstLineChars="0"/>
              <w:jc w:val="center"/>
              <w:rPr>
                <w:rFonts w:cs="Times New Roman"/>
                <w:sz w:val="21"/>
                <w:szCs w:val="21"/>
              </w:rPr>
            </w:pPr>
            <w:r>
              <w:rPr>
                <w:rFonts w:hint="eastAsia" w:cs="Times New Roman"/>
                <w:sz w:val="21"/>
                <w:szCs w:val="21"/>
              </w:rPr>
              <w:t>HJ 1132</w:t>
            </w:r>
          </w:p>
        </w:tc>
      </w:tr>
      <w:bookmarkEnd w:id="111"/>
    </w:tbl>
    <w:p>
      <w:pPr>
        <w:pStyle w:val="3"/>
        <w:spacing w:before="163" w:after="163"/>
        <w:rPr>
          <w:rFonts w:ascii="Times New Roman" w:hAnsi="Times New Roman" w:cs="Times New Roman"/>
        </w:rPr>
      </w:pPr>
      <w:bookmarkStart w:id="113" w:name="_Toc226540480"/>
      <w:r>
        <w:rPr>
          <w:rFonts w:hint="eastAsia" w:ascii="Times New Roman" w:hAnsi="Times New Roman" w:cs="Times New Roman"/>
        </w:rPr>
        <w:t>实施与监督</w:t>
      </w:r>
      <w:bookmarkEnd w:id="113"/>
    </w:p>
    <w:p>
      <w:pPr>
        <w:ind w:firstLine="480"/>
      </w:pPr>
      <w:r>
        <w:rPr>
          <w:rFonts w:hint="eastAsia"/>
        </w:rPr>
        <w:t>（1）本文件由具有管辖权的生态环境主管部门负责监督实施。</w:t>
      </w:r>
    </w:p>
    <w:p>
      <w:pPr>
        <w:ind w:firstLine="480"/>
      </w:pPr>
      <w:r>
        <w:rPr>
          <w:rFonts w:hint="eastAsia"/>
        </w:rPr>
        <w:t>（2）汽车维修企业是实施排放标准的责任主体，应采取必要措施，达到本文件规定的污染物排放控制要求。</w:t>
      </w:r>
    </w:p>
    <w:p>
      <w:pPr>
        <w:ind w:firstLine="480"/>
      </w:pPr>
      <w:r>
        <w:rPr>
          <w:rFonts w:hint="eastAsia"/>
        </w:rPr>
        <w:t>（3）对于有组织排放，采用手工监测或自动监测时，按照监测标准要求测得的任意1小时或1小时内平均浓度值超过本文件规定的限值或污染物处理效率低于本文件规定的限值，判定为超标。对于厂区内无组织，按照本文件要求测得的任意1小时或1小时内平均浓度值或任意一次浓度值超过本文件规定的限值，判定为超标。</w:t>
      </w:r>
    </w:p>
    <w:p>
      <w:pPr>
        <w:ind w:firstLine="480"/>
      </w:pPr>
      <w:r>
        <w:rPr>
          <w:rFonts w:hint="eastAsia"/>
        </w:rPr>
        <w:t>（4）若同一时段生态环境主管部门现场检查的手工监测数据与自动监测数据不一致，优先使用符合法定监测标准的手工监测数据作为判定是否超标和自动监控设备是否正常运行的依据。</w:t>
      </w:r>
    </w:p>
    <w:p>
      <w:pPr>
        <w:ind w:firstLine="480"/>
      </w:pPr>
      <w:r>
        <w:rPr>
          <w:rFonts w:hint="eastAsia"/>
        </w:rPr>
        <w:t>（5）企业未遵守本文件规定的措施性控制要求，属于违法行为的，依照法律法规等有关规定予以处理。</w:t>
      </w:r>
    </w:p>
    <w:p>
      <w:pPr>
        <w:ind w:firstLine="480"/>
      </w:pPr>
      <w:r>
        <w:rPr>
          <w:rFonts w:hint="eastAsia"/>
        </w:rPr>
        <w:t>（6）本文件实施后，需要对现有企业排污许可证进行变更的，生态环境主管部门应当在本文件实施之日前依法变更排污许可证。</w:t>
      </w:r>
    </w:p>
    <w:p>
      <w:pPr>
        <w:ind w:firstLine="480"/>
      </w:pPr>
    </w:p>
    <w:p>
      <w:pPr>
        <w:pStyle w:val="44"/>
        <w:ind w:firstLine="480"/>
        <w:rPr>
          <w:rFonts w:cs="Times New Roman"/>
        </w:rPr>
      </w:pPr>
    </w:p>
    <w:p>
      <w:pPr>
        <w:pStyle w:val="44"/>
        <w:ind w:firstLine="480"/>
        <w:rPr>
          <w:rFonts w:cs="Times New Roman"/>
        </w:rPr>
      </w:pPr>
    </w:p>
    <w:p>
      <w:pPr>
        <w:widowControl/>
        <w:spacing w:line="240" w:lineRule="auto"/>
        <w:ind w:firstLine="0" w:firstLineChars="0"/>
        <w:jc w:val="left"/>
        <w:rPr>
          <w:rFonts w:cs="Times New Roman" w:eastAsiaTheme="majorEastAsia"/>
          <w:b/>
          <w:bCs/>
          <w:kern w:val="44"/>
          <w:sz w:val="32"/>
          <w:szCs w:val="44"/>
        </w:rPr>
      </w:pPr>
      <w:bookmarkStart w:id="114" w:name="_Toc27660234"/>
      <w:r>
        <w:rPr>
          <w:rFonts w:cs="Times New Roman"/>
        </w:rPr>
        <w:br w:type="page"/>
      </w:r>
    </w:p>
    <w:p>
      <w:pPr>
        <w:pStyle w:val="2"/>
        <w:spacing w:before="163" w:after="163"/>
        <w:rPr>
          <w:rFonts w:ascii="Times New Roman" w:hAnsi="Times New Roman" w:cs="Times New Roman"/>
        </w:rPr>
      </w:pPr>
      <w:bookmarkStart w:id="115" w:name="_Toc226540481"/>
      <w:r>
        <w:rPr>
          <w:rFonts w:ascii="Times New Roman" w:hAnsi="Times New Roman" w:cs="Times New Roman"/>
        </w:rPr>
        <w:t>技术经济及环境效益分析</w:t>
      </w:r>
      <w:bookmarkEnd w:id="115"/>
    </w:p>
    <w:p>
      <w:pPr>
        <w:pStyle w:val="3"/>
        <w:spacing w:before="163" w:after="163"/>
        <w:rPr>
          <w:rFonts w:ascii="Times New Roman" w:hAnsi="Times New Roman" w:cs="Times New Roman"/>
        </w:rPr>
      </w:pPr>
      <w:bookmarkStart w:id="116" w:name="_Toc226540482"/>
      <w:bookmarkStart w:id="117" w:name="_Toc27660235"/>
      <w:r>
        <w:rPr>
          <w:rFonts w:ascii="Times New Roman" w:hAnsi="Times New Roman" w:cs="Times New Roman"/>
        </w:rPr>
        <w:t>技术可行分析</w:t>
      </w:r>
      <w:bookmarkEnd w:id="116"/>
      <w:bookmarkEnd w:id="117"/>
    </w:p>
    <w:p>
      <w:pPr>
        <w:ind w:firstLine="480"/>
      </w:pPr>
      <w:r>
        <w:rPr>
          <w:rFonts w:hint="eastAsia"/>
        </w:rPr>
        <w:t>本文件规定了汽车维修过程中使用的处于施工状态下涂料中 VOCs含量限值应符合GB/T38597规定的要求，GB/T38597中未做规定的，应符合GB24409规定的要求。本文件引用现有国标限值，具有良好的技术基础，此外现场调研显示汽车维修行业的色漆、底漆、中涂和清漆等原辅料部分已实现了低VOCs普代，尤其是水性底色漆和本色漆均已达到了低VOCs标准，普代技术相对成熟，可行性高。</w:t>
      </w:r>
    </w:p>
    <w:p>
      <w:pPr>
        <w:ind w:firstLine="480"/>
      </w:pPr>
      <w:r>
        <w:rPr>
          <w:rFonts w:hint="eastAsia"/>
        </w:rPr>
        <w:t>本文件规定了汽车维修的喷涂废气苯、苯系物、NMHC以及颗粒物的浓度限值，调研企业中，NMHC最高浓度为28.2mg/m</w:t>
      </w:r>
      <w:r>
        <w:rPr>
          <w:rFonts w:hint="eastAsia"/>
          <w:vertAlign w:val="superscript"/>
        </w:rPr>
        <w:t>3</w:t>
      </w:r>
      <w:r>
        <w:rPr>
          <w:rFonts w:hint="eastAsia"/>
        </w:rPr>
        <w:t>，通过文件规定的原辅料低VOCs替代或水性普代，可减少10%~30%的VOCs产生量，进一步通过提高末端治理设施运行效果或采用更为高效的治理设施，治理效率最高可达90%以上，可使得排放废气达标。</w:t>
      </w:r>
    </w:p>
    <w:p>
      <w:pPr>
        <w:pStyle w:val="3"/>
        <w:spacing w:before="163" w:after="163"/>
        <w:rPr>
          <w:rFonts w:ascii="Times New Roman" w:hAnsi="Times New Roman" w:cs="Times New Roman"/>
        </w:rPr>
      </w:pPr>
      <w:bookmarkStart w:id="118" w:name="_Toc27660236"/>
      <w:bookmarkStart w:id="119" w:name="_Toc226540483"/>
      <w:r>
        <w:rPr>
          <w:rFonts w:ascii="Times New Roman" w:hAnsi="Times New Roman" w:cs="Times New Roman"/>
        </w:rPr>
        <w:t>技术经济分析</w:t>
      </w:r>
      <w:bookmarkEnd w:id="118"/>
      <w:bookmarkEnd w:id="119"/>
    </w:p>
    <w:p>
      <w:pPr>
        <w:pStyle w:val="4"/>
        <w:spacing w:before="163" w:after="163"/>
        <w:jc w:val="left"/>
      </w:pPr>
      <w:bookmarkStart w:id="120" w:name="_Toc226540484"/>
      <w:r>
        <w:rPr>
          <w:rFonts w:hint="eastAsia"/>
        </w:rPr>
        <w:t>源头控制</w:t>
      </w:r>
      <w:bookmarkEnd w:id="120"/>
    </w:p>
    <w:p>
      <w:pPr>
        <w:widowControl/>
        <w:ind w:firstLine="480"/>
        <w:rPr>
          <w:rFonts w:cs="Times New Roman"/>
          <w:color w:val="000000"/>
          <w:kern w:val="0"/>
          <w:szCs w:val="24"/>
          <w:lang w:bidi="ar"/>
        </w:rPr>
      </w:pPr>
      <w:r>
        <w:rPr>
          <w:rFonts w:hint="eastAsia" w:cs="Times New Roman"/>
          <w:color w:val="000000"/>
          <w:kern w:val="0"/>
          <w:szCs w:val="24"/>
          <w:lang w:bidi="ar"/>
        </w:rPr>
        <w:t>使用低</w:t>
      </w:r>
      <w:r>
        <w:rPr>
          <w:rFonts w:cs="Times New Roman"/>
          <w:color w:val="000000"/>
          <w:kern w:val="0"/>
          <w:szCs w:val="24"/>
          <w:lang w:bidi="ar"/>
        </w:rPr>
        <w:t>VOCs</w:t>
      </w:r>
      <w:r>
        <w:rPr>
          <w:rFonts w:hint="eastAsia" w:cs="Times New Roman"/>
          <w:color w:val="000000"/>
          <w:kern w:val="0"/>
          <w:szCs w:val="24"/>
          <w:lang w:bidi="ar"/>
        </w:rPr>
        <w:t>含量的原料可从源头有效降低汽车维修行业</w:t>
      </w:r>
      <w:r>
        <w:rPr>
          <w:rFonts w:cs="Times New Roman"/>
          <w:color w:val="000000"/>
          <w:kern w:val="0"/>
          <w:szCs w:val="24"/>
          <w:lang w:bidi="ar"/>
        </w:rPr>
        <w:t>VOCs</w:t>
      </w:r>
      <w:r>
        <w:rPr>
          <w:rFonts w:hint="eastAsia" w:cs="Times New Roman"/>
          <w:color w:val="000000"/>
          <w:kern w:val="0"/>
          <w:szCs w:val="24"/>
          <w:lang w:bidi="ar"/>
        </w:rPr>
        <w:t>产生量。其中，色漆的水性涂料替代技术成熟、效果最为显著，替代后</w:t>
      </w:r>
      <w:r>
        <w:rPr>
          <w:rFonts w:cs="Times New Roman"/>
          <w:color w:val="000000"/>
          <w:kern w:val="0"/>
          <w:szCs w:val="24"/>
          <w:lang w:bidi="ar"/>
        </w:rPr>
        <w:t>VOCs</w:t>
      </w:r>
      <w:r>
        <w:rPr>
          <w:rFonts w:hint="eastAsia" w:cs="Times New Roman"/>
          <w:color w:val="000000"/>
          <w:kern w:val="0"/>
          <w:szCs w:val="24"/>
          <w:lang w:bidi="ar"/>
        </w:rPr>
        <w:t>产生量可减少</w:t>
      </w:r>
      <w:r>
        <w:rPr>
          <w:rFonts w:cs="Times New Roman"/>
          <w:color w:val="000000"/>
          <w:kern w:val="0"/>
          <w:szCs w:val="24"/>
          <w:lang w:bidi="ar"/>
        </w:rPr>
        <w:t>50%</w:t>
      </w:r>
      <w:r>
        <w:rPr>
          <w:rFonts w:hint="eastAsia" w:cs="Times New Roman"/>
          <w:color w:val="000000"/>
          <w:kern w:val="0"/>
          <w:szCs w:val="24"/>
          <w:lang w:bidi="ar"/>
        </w:rPr>
        <w:t>左右，其余的底漆、中涂和清漆也有可行的低</w:t>
      </w:r>
      <w:r>
        <w:rPr>
          <w:rFonts w:cs="Times New Roman"/>
          <w:color w:val="000000"/>
          <w:kern w:val="0"/>
          <w:szCs w:val="24"/>
          <w:lang w:bidi="ar"/>
        </w:rPr>
        <w:t>VOCs</w:t>
      </w:r>
      <w:r>
        <w:rPr>
          <w:rFonts w:hint="eastAsia" w:cs="Times New Roman"/>
          <w:color w:val="000000"/>
          <w:kern w:val="0"/>
          <w:szCs w:val="24"/>
          <w:lang w:bidi="ar"/>
        </w:rPr>
        <w:t>含量的油漆可替代。与传统溶剂型涂料相比，使用低</w:t>
      </w:r>
      <w:r>
        <w:rPr>
          <w:rFonts w:cs="Times New Roman"/>
          <w:color w:val="000000"/>
          <w:kern w:val="0"/>
          <w:szCs w:val="24"/>
          <w:lang w:bidi="ar"/>
        </w:rPr>
        <w:t>VOCs</w:t>
      </w:r>
      <w:r>
        <w:rPr>
          <w:rFonts w:hint="eastAsia" w:cs="Times New Roman"/>
          <w:color w:val="000000"/>
          <w:kern w:val="0"/>
          <w:szCs w:val="24"/>
          <w:lang w:bidi="ar"/>
        </w:rPr>
        <w:t>含量的涂料喷涂工艺的要求比较严格，需要对喷漆房的空气条件、温度条件、湿度条件进行严格的控制，再配备专用的低</w:t>
      </w:r>
      <w:r>
        <w:rPr>
          <w:rFonts w:cs="Times New Roman"/>
          <w:color w:val="000000"/>
          <w:kern w:val="0"/>
          <w:szCs w:val="24"/>
          <w:lang w:bidi="ar"/>
        </w:rPr>
        <w:t>VOCs</w:t>
      </w:r>
      <w:r>
        <w:rPr>
          <w:rFonts w:hint="eastAsia" w:cs="Times New Roman"/>
          <w:color w:val="000000"/>
          <w:kern w:val="0"/>
          <w:szCs w:val="24"/>
          <w:lang w:bidi="ar"/>
        </w:rPr>
        <w:t>含量原料喷枪、吹风枪、洗枪机，并对涂装工艺人员进行培训，因此工艺改造的难度不大，且在工艺技术上是可行的。</w:t>
      </w:r>
    </w:p>
    <w:p>
      <w:pPr>
        <w:widowControl/>
        <w:ind w:firstLine="480"/>
        <w:rPr>
          <w:rFonts w:cs="Times New Roman"/>
          <w:color w:val="000000"/>
          <w:kern w:val="0"/>
          <w:szCs w:val="24"/>
          <w:lang w:bidi="ar"/>
        </w:rPr>
      </w:pPr>
      <w:r>
        <w:rPr>
          <w:rFonts w:hint="eastAsia" w:cs="Times New Roman"/>
          <w:color w:val="000000"/>
          <w:kern w:val="0"/>
          <w:szCs w:val="24"/>
          <w:lang w:bidi="ar"/>
        </w:rPr>
        <w:t>换用低</w:t>
      </w:r>
      <w:r>
        <w:rPr>
          <w:rFonts w:cs="Times New Roman"/>
          <w:color w:val="000000"/>
          <w:kern w:val="0"/>
          <w:szCs w:val="24"/>
          <w:lang w:bidi="ar"/>
        </w:rPr>
        <w:t>VOCs</w:t>
      </w:r>
      <w:r>
        <w:rPr>
          <w:rFonts w:hint="eastAsia" w:cs="Times New Roman"/>
          <w:color w:val="000000"/>
          <w:kern w:val="0"/>
          <w:szCs w:val="24"/>
          <w:lang w:bidi="ar"/>
        </w:rPr>
        <w:t>含量涂料成本大约上升</w:t>
      </w:r>
      <w:r>
        <w:rPr>
          <w:rFonts w:cs="Times New Roman"/>
          <w:color w:val="000000"/>
          <w:kern w:val="0"/>
          <w:szCs w:val="24"/>
          <w:lang w:bidi="ar"/>
        </w:rPr>
        <w:t>20%-40%</w:t>
      </w:r>
      <w:r>
        <w:rPr>
          <w:rFonts w:hint="eastAsia" w:cs="Times New Roman"/>
          <w:color w:val="000000"/>
          <w:kern w:val="0"/>
          <w:szCs w:val="24"/>
          <w:lang w:bidi="ar"/>
        </w:rPr>
        <w:t>，喷枪、洗枪机等设备升级改造、涂装工作人员培训等产生的成本约需</w:t>
      </w:r>
      <w:r>
        <w:rPr>
          <w:rFonts w:cs="Times New Roman"/>
          <w:color w:val="000000"/>
          <w:kern w:val="0"/>
          <w:szCs w:val="24"/>
          <w:lang w:bidi="ar"/>
        </w:rPr>
        <w:t>1-5</w:t>
      </w:r>
      <w:r>
        <w:rPr>
          <w:rFonts w:hint="eastAsia" w:cs="Times New Roman"/>
          <w:color w:val="000000"/>
          <w:kern w:val="0"/>
          <w:szCs w:val="24"/>
          <w:lang w:bidi="ar"/>
        </w:rPr>
        <w:t>万元不等。但水性涂料相对于溶剂型油漆，产生的有害废弃物较少，能够减少有害废弃物的处置成本，涂料替代的经济性较好，可操作性强，且能获得很好的环境效益。</w:t>
      </w:r>
    </w:p>
    <w:p>
      <w:pPr>
        <w:pStyle w:val="4"/>
        <w:spacing w:before="163" w:after="163"/>
        <w:jc w:val="left"/>
      </w:pPr>
      <w:bookmarkStart w:id="121" w:name="_Toc226540485"/>
      <w:r>
        <w:rPr>
          <w:rFonts w:hint="eastAsia"/>
        </w:rPr>
        <w:t>末端治理</w:t>
      </w:r>
      <w:bookmarkEnd w:id="121"/>
    </w:p>
    <w:p>
      <w:pPr>
        <w:widowControl/>
        <w:ind w:firstLine="480"/>
        <w:rPr>
          <w:rFonts w:cs="Times New Roman"/>
          <w:color w:val="000000"/>
          <w:kern w:val="0"/>
          <w:szCs w:val="24"/>
          <w:lang w:bidi="ar"/>
        </w:rPr>
      </w:pPr>
      <w:r>
        <w:rPr>
          <w:rFonts w:hint="eastAsia" w:cs="Times New Roman"/>
          <w:color w:val="000000"/>
          <w:kern w:val="0"/>
          <w:szCs w:val="24"/>
          <w:lang w:bidi="ar"/>
        </w:rPr>
        <w:t>由于汽车维修</w:t>
      </w:r>
      <w:r>
        <w:rPr>
          <w:rFonts w:cs="Times New Roman"/>
          <w:color w:val="000000"/>
          <w:kern w:val="0"/>
          <w:szCs w:val="24"/>
          <w:lang w:bidi="ar"/>
        </w:rPr>
        <w:t>VOCs</w:t>
      </w:r>
      <w:r>
        <w:rPr>
          <w:rFonts w:hint="eastAsia" w:cs="Times New Roman"/>
          <w:color w:val="000000"/>
          <w:kern w:val="0"/>
          <w:szCs w:val="24"/>
          <w:lang w:bidi="ar"/>
        </w:rPr>
        <w:t>废气在工业</w:t>
      </w:r>
      <w:r>
        <w:rPr>
          <w:rFonts w:cs="Times New Roman"/>
          <w:color w:val="000000"/>
          <w:kern w:val="0"/>
          <w:szCs w:val="24"/>
          <w:lang w:bidi="ar"/>
        </w:rPr>
        <w:t>VOCs</w:t>
      </w:r>
      <w:r>
        <w:rPr>
          <w:rFonts w:hint="eastAsia" w:cs="Times New Roman"/>
          <w:color w:val="000000"/>
          <w:kern w:val="0"/>
          <w:szCs w:val="24"/>
          <w:lang w:bidi="ar"/>
        </w:rPr>
        <w:t>中属于中低浓度排放，排放量相对较小，企业可接受的成本也有限。对于有机溶剂年用量在</w:t>
      </w:r>
      <w:r>
        <w:rPr>
          <w:rFonts w:cs="Times New Roman"/>
          <w:color w:val="000000"/>
          <w:kern w:val="0"/>
          <w:szCs w:val="24"/>
          <w:lang w:bidi="ar"/>
        </w:rPr>
        <w:t>1t</w:t>
      </w:r>
      <w:r>
        <w:rPr>
          <w:rFonts w:hint="eastAsia" w:cs="Times New Roman"/>
          <w:color w:val="000000"/>
          <w:kern w:val="0"/>
          <w:szCs w:val="24"/>
          <w:lang w:bidi="ar"/>
        </w:rPr>
        <w:t>以下的小微型企业可全面采用水性、高固体份等低</w:t>
      </w:r>
      <w:r>
        <w:rPr>
          <w:rFonts w:cs="Times New Roman"/>
          <w:color w:val="000000"/>
          <w:kern w:val="0"/>
          <w:szCs w:val="24"/>
          <w:lang w:bidi="ar"/>
        </w:rPr>
        <w:t>VOCs</w:t>
      </w:r>
      <w:r>
        <w:rPr>
          <w:rFonts w:hint="eastAsia" w:cs="Times New Roman"/>
          <w:color w:val="000000"/>
          <w:kern w:val="0"/>
          <w:szCs w:val="24"/>
          <w:lang w:bidi="ar"/>
        </w:rPr>
        <w:t>含量涂料替代技术后加装活性炭吸附等较为简单的治理设施达标排放。单套活性炭装置投资费用在</w:t>
      </w:r>
      <w:r>
        <w:rPr>
          <w:rFonts w:cs="Times New Roman"/>
          <w:color w:val="000000"/>
          <w:kern w:val="0"/>
          <w:szCs w:val="24"/>
          <w:lang w:bidi="ar"/>
        </w:rPr>
        <w:t>3</w:t>
      </w:r>
      <w:r>
        <w:rPr>
          <w:rFonts w:hint="eastAsia" w:cs="Times New Roman"/>
          <w:color w:val="000000"/>
          <w:kern w:val="0"/>
          <w:szCs w:val="24"/>
          <w:lang w:bidi="ar"/>
        </w:rPr>
        <w:t>万元左右，年运行费用在</w:t>
      </w:r>
      <w:r>
        <w:rPr>
          <w:rFonts w:cs="Times New Roman"/>
          <w:color w:val="000000"/>
          <w:kern w:val="0"/>
          <w:szCs w:val="24"/>
          <w:lang w:bidi="ar"/>
        </w:rPr>
        <w:t>0.5</w:t>
      </w:r>
      <w:r>
        <w:rPr>
          <w:rFonts w:hint="eastAsia" w:cs="Times New Roman"/>
          <w:color w:val="000000"/>
          <w:kern w:val="0"/>
          <w:szCs w:val="24"/>
          <w:lang w:bidi="ar"/>
        </w:rPr>
        <w:t>万元左右。</w:t>
      </w:r>
    </w:p>
    <w:p>
      <w:pPr>
        <w:widowControl/>
        <w:ind w:firstLine="480"/>
        <w:rPr>
          <w:rFonts w:cs="Times New Roman"/>
          <w:color w:val="000000"/>
          <w:kern w:val="0"/>
          <w:szCs w:val="24"/>
          <w:lang w:bidi="ar"/>
        </w:rPr>
      </w:pPr>
      <w:r>
        <w:rPr>
          <w:rFonts w:hint="eastAsia" w:cs="Times New Roman"/>
          <w:color w:val="000000"/>
          <w:kern w:val="0"/>
          <w:szCs w:val="24"/>
          <w:lang w:bidi="ar"/>
        </w:rPr>
        <w:t>对于其他大中型汽修企业，可采用以下处理技术达标排放：</w:t>
      </w:r>
      <w:r>
        <w:rPr>
          <w:rFonts w:cs="Times New Roman"/>
          <w:color w:val="000000"/>
          <w:kern w:val="0"/>
          <w:szCs w:val="24"/>
          <w:lang w:bidi="ar"/>
        </w:rPr>
        <w:t xml:space="preserve"> </w:t>
      </w:r>
    </w:p>
    <w:p>
      <w:pPr>
        <w:widowControl/>
        <w:ind w:firstLine="480"/>
        <w:rPr>
          <w:rFonts w:cs="Times New Roman"/>
          <w:color w:val="000000"/>
          <w:kern w:val="0"/>
          <w:szCs w:val="24"/>
          <w:lang w:bidi="ar"/>
        </w:rPr>
      </w:pPr>
      <w:r>
        <w:rPr>
          <w:rFonts w:hint="eastAsia" w:cs="Times New Roman"/>
          <w:color w:val="000000"/>
          <w:kern w:val="0"/>
          <w:szCs w:val="24"/>
          <w:lang w:bidi="ar"/>
        </w:rPr>
        <w:t>（1）吸附浓缩</w:t>
      </w:r>
      <w:r>
        <w:rPr>
          <w:rFonts w:cs="Times New Roman"/>
          <w:color w:val="000000"/>
          <w:kern w:val="0"/>
          <w:szCs w:val="24"/>
          <w:lang w:bidi="ar"/>
        </w:rPr>
        <w:t>+</w:t>
      </w:r>
      <w:r>
        <w:rPr>
          <w:rFonts w:hint="eastAsia" w:cs="Times New Roman"/>
          <w:color w:val="000000"/>
          <w:kern w:val="0"/>
          <w:szCs w:val="24"/>
          <w:lang w:bidi="ar"/>
        </w:rPr>
        <w:t>燃烧：国内外低浓度</w:t>
      </w:r>
      <w:r>
        <w:rPr>
          <w:rFonts w:cs="Times New Roman"/>
          <w:color w:val="000000"/>
          <w:kern w:val="0"/>
          <w:szCs w:val="24"/>
          <w:lang w:bidi="ar"/>
        </w:rPr>
        <w:t>VOCs</w:t>
      </w:r>
      <w:r>
        <w:rPr>
          <w:rFonts w:hint="eastAsia" w:cs="Times New Roman"/>
          <w:color w:val="000000"/>
          <w:kern w:val="0"/>
          <w:szCs w:val="24"/>
          <w:lang w:bidi="ar"/>
        </w:rPr>
        <w:t>治理的主流技术之一，也是本标准推荐的处理技术。一套活性炭吸附浓缩</w:t>
      </w:r>
      <w:r>
        <w:rPr>
          <w:rFonts w:cs="Times New Roman"/>
          <w:color w:val="000000"/>
          <w:kern w:val="0"/>
          <w:szCs w:val="24"/>
          <w:lang w:bidi="ar"/>
        </w:rPr>
        <w:t>+</w:t>
      </w:r>
      <w:r>
        <w:rPr>
          <w:rFonts w:hint="eastAsia" w:cs="Times New Roman"/>
          <w:color w:val="000000"/>
          <w:kern w:val="0"/>
          <w:szCs w:val="24"/>
          <w:lang w:bidi="ar"/>
        </w:rPr>
        <w:t>催化燃烧装置（</w:t>
      </w:r>
      <w:r>
        <w:rPr>
          <w:rFonts w:cs="Times New Roman"/>
          <w:color w:val="000000"/>
          <w:kern w:val="0"/>
          <w:szCs w:val="24"/>
          <w:lang w:bidi="ar"/>
        </w:rPr>
        <w:t>1</w:t>
      </w:r>
      <w:r>
        <w:rPr>
          <w:rFonts w:hint="eastAsia" w:cs="Times New Roman"/>
          <w:color w:val="000000"/>
          <w:kern w:val="0"/>
          <w:szCs w:val="24"/>
          <w:lang w:bidi="ar"/>
        </w:rPr>
        <w:t>万</w:t>
      </w:r>
      <w:r>
        <w:rPr>
          <w:rFonts w:cs="Times New Roman"/>
          <w:color w:val="000000"/>
          <w:kern w:val="0"/>
          <w:szCs w:val="24"/>
          <w:lang w:bidi="ar"/>
        </w:rPr>
        <w:t>m</w:t>
      </w:r>
      <w:r>
        <w:rPr>
          <w:rFonts w:cs="Times New Roman"/>
          <w:color w:val="000000"/>
          <w:kern w:val="0"/>
          <w:szCs w:val="24"/>
          <w:vertAlign w:val="superscript"/>
          <w:lang w:bidi="ar"/>
        </w:rPr>
        <w:t>3</w:t>
      </w:r>
      <w:r>
        <w:rPr>
          <w:rFonts w:cs="Times New Roman"/>
          <w:color w:val="000000"/>
          <w:kern w:val="0"/>
          <w:szCs w:val="24"/>
          <w:lang w:bidi="ar"/>
        </w:rPr>
        <w:t>/h</w:t>
      </w:r>
      <w:r>
        <w:rPr>
          <w:rFonts w:hint="eastAsia" w:cs="Times New Roman"/>
          <w:color w:val="000000"/>
          <w:kern w:val="0"/>
          <w:szCs w:val="24"/>
          <w:lang w:bidi="ar"/>
        </w:rPr>
        <w:t>），投资成本在</w:t>
      </w:r>
      <w:r>
        <w:rPr>
          <w:rFonts w:cs="Times New Roman"/>
          <w:color w:val="000000"/>
          <w:kern w:val="0"/>
          <w:szCs w:val="24"/>
          <w:lang w:bidi="ar"/>
        </w:rPr>
        <w:t>25</w:t>
      </w:r>
      <w:r>
        <w:rPr>
          <w:rFonts w:hint="eastAsia" w:cs="Times New Roman"/>
          <w:color w:val="000000"/>
          <w:kern w:val="0"/>
          <w:szCs w:val="24"/>
          <w:lang w:bidi="ar"/>
        </w:rPr>
        <w:t>万元</w:t>
      </w:r>
      <w:r>
        <w:rPr>
          <w:rFonts w:cs="Times New Roman"/>
          <w:color w:val="000000"/>
          <w:kern w:val="0"/>
          <w:szCs w:val="24"/>
          <w:lang w:bidi="ar"/>
        </w:rPr>
        <w:t>/</w:t>
      </w:r>
      <w:r>
        <w:rPr>
          <w:rFonts w:hint="eastAsia" w:cs="Times New Roman"/>
          <w:color w:val="000000"/>
          <w:kern w:val="0"/>
          <w:szCs w:val="24"/>
          <w:lang w:bidi="ar"/>
        </w:rPr>
        <w:t>套左右，运行成本</w:t>
      </w:r>
      <w:r>
        <w:rPr>
          <w:rFonts w:cs="Times New Roman"/>
          <w:color w:val="000000"/>
          <w:kern w:val="0"/>
          <w:szCs w:val="24"/>
          <w:lang w:bidi="ar"/>
        </w:rPr>
        <w:t>5-6</w:t>
      </w:r>
      <w:r>
        <w:rPr>
          <w:rFonts w:hint="eastAsia" w:cs="Times New Roman"/>
          <w:color w:val="000000"/>
          <w:kern w:val="0"/>
          <w:szCs w:val="24"/>
          <w:lang w:bidi="ar"/>
        </w:rPr>
        <w:t>万元</w:t>
      </w:r>
      <w:r>
        <w:rPr>
          <w:rFonts w:cs="Times New Roman"/>
          <w:color w:val="000000"/>
          <w:kern w:val="0"/>
          <w:szCs w:val="24"/>
          <w:lang w:bidi="ar"/>
        </w:rPr>
        <w:t>/</w:t>
      </w:r>
      <w:r>
        <w:rPr>
          <w:rFonts w:hint="eastAsia" w:cs="Times New Roman"/>
          <w:color w:val="000000"/>
          <w:kern w:val="0"/>
          <w:szCs w:val="24"/>
          <w:lang w:bidi="ar"/>
        </w:rPr>
        <w:t>年。</w:t>
      </w:r>
      <w:r>
        <w:rPr>
          <w:rFonts w:cs="Times New Roman"/>
          <w:color w:val="000000"/>
          <w:kern w:val="0"/>
          <w:szCs w:val="24"/>
          <w:lang w:bidi="ar"/>
        </w:rPr>
        <w:t xml:space="preserve"> </w:t>
      </w:r>
    </w:p>
    <w:p>
      <w:pPr>
        <w:widowControl/>
        <w:ind w:firstLine="480"/>
        <w:rPr>
          <w:rFonts w:cs="Times New Roman"/>
          <w:color w:val="000000"/>
          <w:kern w:val="0"/>
          <w:szCs w:val="24"/>
          <w:lang w:bidi="ar"/>
        </w:rPr>
      </w:pPr>
      <w:r>
        <w:rPr>
          <w:rFonts w:hint="eastAsia" w:cs="Times New Roman"/>
          <w:color w:val="000000"/>
          <w:kern w:val="0"/>
          <w:szCs w:val="24"/>
          <w:lang w:bidi="ar"/>
        </w:rPr>
        <w:t>治理效率更高的是沸石转轮吸附浓缩</w:t>
      </w:r>
      <w:r>
        <w:rPr>
          <w:rFonts w:cs="Times New Roman"/>
          <w:color w:val="000000"/>
          <w:kern w:val="0"/>
          <w:szCs w:val="24"/>
          <w:lang w:bidi="ar"/>
        </w:rPr>
        <w:t>+</w:t>
      </w:r>
      <w:r>
        <w:rPr>
          <w:rFonts w:hint="eastAsia" w:cs="Times New Roman"/>
          <w:color w:val="000000"/>
          <w:kern w:val="0"/>
          <w:szCs w:val="24"/>
          <w:lang w:bidi="ar"/>
        </w:rPr>
        <w:t>催化燃烧或</w:t>
      </w:r>
      <w:r>
        <w:rPr>
          <w:rFonts w:cs="Times New Roman"/>
          <w:color w:val="000000"/>
          <w:kern w:val="0"/>
          <w:szCs w:val="24"/>
          <w:lang w:bidi="ar"/>
        </w:rPr>
        <w:t>RTO</w:t>
      </w:r>
      <w:r>
        <w:rPr>
          <w:rFonts w:hint="eastAsia" w:cs="Times New Roman"/>
          <w:color w:val="000000"/>
          <w:kern w:val="0"/>
          <w:szCs w:val="24"/>
          <w:lang w:bidi="ar"/>
        </w:rPr>
        <w:t>燃烧，一次设备投资和运维费用较高，适合规模大，废气风量大、浓度高或不稳定、排放量高，经济效益好的维修企业选用。处理效率可达到</w:t>
      </w:r>
      <w:r>
        <w:rPr>
          <w:rFonts w:cs="Times New Roman"/>
          <w:color w:val="000000"/>
          <w:kern w:val="0"/>
          <w:szCs w:val="24"/>
          <w:lang w:bidi="ar"/>
        </w:rPr>
        <w:t>90%</w:t>
      </w:r>
      <w:r>
        <w:rPr>
          <w:rFonts w:hint="eastAsia" w:cs="Times New Roman"/>
          <w:color w:val="000000"/>
          <w:kern w:val="0"/>
          <w:szCs w:val="24"/>
          <w:lang w:bidi="ar"/>
        </w:rPr>
        <w:t>以上。单套设备成本（</w:t>
      </w:r>
      <w:r>
        <w:rPr>
          <w:rFonts w:cs="Times New Roman"/>
          <w:color w:val="000000"/>
          <w:kern w:val="0"/>
          <w:szCs w:val="24"/>
          <w:lang w:bidi="ar"/>
        </w:rPr>
        <w:t>3</w:t>
      </w:r>
      <w:r>
        <w:rPr>
          <w:rFonts w:hint="eastAsia" w:cs="Times New Roman"/>
          <w:color w:val="000000"/>
          <w:kern w:val="0"/>
          <w:szCs w:val="24"/>
          <w:lang w:bidi="ar"/>
        </w:rPr>
        <w:t>万</w:t>
      </w:r>
      <w:r>
        <w:rPr>
          <w:rFonts w:cs="Times New Roman"/>
          <w:color w:val="000000"/>
          <w:kern w:val="0"/>
          <w:szCs w:val="24"/>
          <w:lang w:bidi="ar"/>
        </w:rPr>
        <w:t>m</w:t>
      </w:r>
      <w:r>
        <w:rPr>
          <w:rFonts w:cs="Times New Roman"/>
          <w:color w:val="000000"/>
          <w:kern w:val="0"/>
          <w:szCs w:val="24"/>
          <w:vertAlign w:val="superscript"/>
          <w:lang w:bidi="ar"/>
        </w:rPr>
        <w:t>3</w:t>
      </w:r>
      <w:r>
        <w:rPr>
          <w:rFonts w:cs="Times New Roman"/>
          <w:color w:val="000000"/>
          <w:kern w:val="0"/>
          <w:szCs w:val="24"/>
          <w:lang w:bidi="ar"/>
        </w:rPr>
        <w:t>/h</w:t>
      </w:r>
      <w:r>
        <w:rPr>
          <w:rFonts w:hint="eastAsia" w:cs="Times New Roman"/>
          <w:color w:val="000000"/>
          <w:kern w:val="0"/>
          <w:szCs w:val="24"/>
          <w:lang w:bidi="ar"/>
        </w:rPr>
        <w:t>）最低可控制在</w:t>
      </w:r>
      <w:r>
        <w:rPr>
          <w:rFonts w:cs="Times New Roman"/>
          <w:color w:val="000000"/>
          <w:kern w:val="0"/>
          <w:szCs w:val="24"/>
          <w:lang w:bidi="ar"/>
        </w:rPr>
        <w:t>200-300</w:t>
      </w:r>
      <w:r>
        <w:rPr>
          <w:rFonts w:hint="eastAsia" w:cs="Times New Roman"/>
          <w:color w:val="000000"/>
          <w:kern w:val="0"/>
          <w:szCs w:val="24"/>
          <w:lang w:bidi="ar"/>
        </w:rPr>
        <w:t>万元之间，运行费用</w:t>
      </w:r>
      <w:r>
        <w:rPr>
          <w:rFonts w:cs="Times New Roman"/>
          <w:color w:val="000000"/>
          <w:kern w:val="0"/>
          <w:szCs w:val="24"/>
          <w:lang w:bidi="ar"/>
        </w:rPr>
        <w:t>400</w:t>
      </w:r>
      <w:r>
        <w:rPr>
          <w:rFonts w:hint="eastAsia" w:cs="Times New Roman"/>
          <w:color w:val="000000"/>
          <w:kern w:val="0"/>
          <w:szCs w:val="24"/>
          <w:lang w:bidi="ar"/>
        </w:rPr>
        <w:t>元</w:t>
      </w:r>
      <w:r>
        <w:rPr>
          <w:rFonts w:cs="Times New Roman"/>
          <w:color w:val="000000"/>
          <w:kern w:val="0"/>
          <w:szCs w:val="24"/>
          <w:lang w:bidi="ar"/>
        </w:rPr>
        <w:t>/</w:t>
      </w:r>
      <w:r>
        <w:rPr>
          <w:rFonts w:hint="eastAsia" w:cs="Times New Roman"/>
          <w:color w:val="000000"/>
          <w:kern w:val="0"/>
          <w:szCs w:val="24"/>
          <w:lang w:bidi="ar"/>
        </w:rPr>
        <w:t>小时。适用于大型钣喷中心或区域集中喷涂中心的末端治理。</w:t>
      </w:r>
    </w:p>
    <w:p>
      <w:pPr>
        <w:widowControl/>
        <w:ind w:firstLine="480"/>
        <w:rPr>
          <w:rFonts w:cs="Times New Roman"/>
          <w:color w:val="000000"/>
          <w:kern w:val="0"/>
          <w:szCs w:val="24"/>
          <w:lang w:bidi="ar"/>
        </w:rPr>
      </w:pPr>
      <w:r>
        <w:rPr>
          <w:rFonts w:hint="eastAsia" w:cs="Times New Roman"/>
          <w:color w:val="000000"/>
          <w:kern w:val="0"/>
          <w:szCs w:val="24"/>
          <w:lang w:bidi="ar"/>
        </w:rPr>
        <w:t>（2）活性炭吸附脱附</w:t>
      </w:r>
      <w:r>
        <w:rPr>
          <w:rFonts w:cs="Times New Roman"/>
          <w:color w:val="000000"/>
          <w:kern w:val="0"/>
          <w:szCs w:val="24"/>
          <w:lang w:bidi="ar"/>
        </w:rPr>
        <w:t>+</w:t>
      </w:r>
      <w:r>
        <w:rPr>
          <w:rFonts w:hint="eastAsia" w:cs="Times New Roman"/>
          <w:color w:val="000000"/>
          <w:kern w:val="0"/>
          <w:szCs w:val="24"/>
          <w:lang w:bidi="ar"/>
        </w:rPr>
        <w:t>催化氧化：目前市场已有专门为汽修行业量身定制的采用该工艺的废气处理系统，该设备高度集成，占比面积少，便于整体运输搬迁；设置多个温控点和多套冷却系统，保障设备和人员的安全；安装投资成本和运行适中，适合规模较小、排放量不高，经济效益也不高的企业维修企业选用。实际处理效率可达到</w:t>
      </w:r>
      <w:r>
        <w:rPr>
          <w:rFonts w:cs="Times New Roman"/>
          <w:color w:val="000000"/>
          <w:kern w:val="0"/>
          <w:szCs w:val="24"/>
          <w:lang w:bidi="ar"/>
        </w:rPr>
        <w:t>50%-70%</w:t>
      </w:r>
      <w:r>
        <w:rPr>
          <w:rFonts w:hint="eastAsia" w:cs="Times New Roman"/>
          <w:color w:val="000000"/>
          <w:kern w:val="0"/>
          <w:szCs w:val="24"/>
          <w:lang w:bidi="ar"/>
        </w:rPr>
        <w:t>，对于源头替代措施实施较到位的企业可采用该技术达标排放，单套设备投资成本在</w:t>
      </w:r>
      <w:r>
        <w:rPr>
          <w:rFonts w:cs="Times New Roman"/>
          <w:color w:val="000000"/>
          <w:kern w:val="0"/>
          <w:szCs w:val="24"/>
          <w:lang w:bidi="ar"/>
        </w:rPr>
        <w:t>10-15</w:t>
      </w:r>
      <w:r>
        <w:rPr>
          <w:rFonts w:hint="eastAsia" w:cs="Times New Roman"/>
          <w:color w:val="000000"/>
          <w:kern w:val="0"/>
          <w:szCs w:val="24"/>
          <w:lang w:bidi="ar"/>
        </w:rPr>
        <w:t>万之间，运行成本约</w:t>
      </w:r>
      <w:r>
        <w:rPr>
          <w:rFonts w:cs="Times New Roman"/>
          <w:color w:val="000000"/>
          <w:kern w:val="0"/>
          <w:szCs w:val="24"/>
          <w:lang w:bidi="ar"/>
        </w:rPr>
        <w:t>3-5</w:t>
      </w:r>
      <w:r>
        <w:rPr>
          <w:rFonts w:hint="eastAsia" w:cs="Times New Roman"/>
          <w:color w:val="000000"/>
          <w:kern w:val="0"/>
          <w:szCs w:val="24"/>
          <w:lang w:bidi="ar"/>
        </w:rPr>
        <w:t>万元</w:t>
      </w:r>
      <w:r>
        <w:rPr>
          <w:rFonts w:cs="Times New Roman"/>
          <w:color w:val="000000"/>
          <w:kern w:val="0"/>
          <w:szCs w:val="24"/>
          <w:lang w:bidi="ar"/>
        </w:rPr>
        <w:t>/</w:t>
      </w:r>
      <w:r>
        <w:rPr>
          <w:rFonts w:hint="eastAsia" w:cs="Times New Roman"/>
          <w:color w:val="000000"/>
          <w:kern w:val="0"/>
          <w:szCs w:val="24"/>
          <w:lang w:bidi="ar"/>
        </w:rPr>
        <w:t>年。</w:t>
      </w:r>
    </w:p>
    <w:p>
      <w:pPr>
        <w:pStyle w:val="3"/>
        <w:spacing w:before="163" w:after="163"/>
        <w:rPr>
          <w:rFonts w:ascii="Times New Roman" w:hAnsi="Times New Roman" w:cs="Times New Roman"/>
        </w:rPr>
      </w:pPr>
      <w:bookmarkStart w:id="122" w:name="_Toc27660237"/>
      <w:bookmarkStart w:id="123" w:name="_Toc226540486"/>
      <w:r>
        <w:rPr>
          <w:rFonts w:ascii="Times New Roman" w:hAnsi="Times New Roman" w:cs="Times New Roman"/>
        </w:rPr>
        <w:t>环境效益分析</w:t>
      </w:r>
      <w:bookmarkEnd w:id="122"/>
      <w:bookmarkEnd w:id="123"/>
    </w:p>
    <w:p>
      <w:pPr>
        <w:ind w:firstLine="480"/>
      </w:pPr>
      <w:r>
        <w:rPr>
          <w:rFonts w:hint="eastAsia"/>
        </w:rPr>
        <w:t>本标准实施能有效推动汽车维修行业全过程治理水平与环境管理水平，包括低VOCs涂料源头替代、无组织废气收集、末端治理设施升级改造等。根据2023年重庆市大气污染源排放清单结果，重庆市汽车维修行业共排放1618吨VOCs，通过实施低VOCs涂料替代，VOCs产生量可下降10%~-30%，减排量最高可达485吨；重庆市目前汽车维修企业VOCs治理效率普遍较低，已有治理设施运行维护水平差，实施排放限值后，如企业VOCs实现达标排放，末端处理装置增设以及提升工艺及捕集效率，根据国家挥发性有机物核算技术指南，提高废气收集率，至少提档改造为活性炭（二级）、活性炭+光氧、吸附浓缩+催化燃烧等组合工艺效率整体至少提高25%（末端去除率15%+废气收集率10%）去除效率，预计VOCs削减量约为405吨，所以重庆市依据标准进行汽车维修行业整治可以削减800余吨VOCs排放，为总量削减做出贡献。</w:t>
      </w:r>
    </w:p>
    <w:p>
      <w:pPr>
        <w:ind w:firstLine="480"/>
        <w:rPr>
          <w:rFonts w:hint="eastAsia"/>
        </w:rPr>
      </w:pPr>
      <w:r>
        <w:rPr>
          <w:rFonts w:hint="eastAsia"/>
        </w:rPr>
        <w:t>依照本文件的实施，部分生产工艺和装备落后、附加值低下、环保设施不到位的企业做不到达标排放，标准的实施将促进企业向规模化、专业化发展，有助于企业下定决心转型升级，改善汽车维修企业的竞争力和周边环境质量，对推动重庆市汽车维修行业的技术进步和可持续发展具有重要意义。</w:t>
      </w:r>
    </w:p>
    <w:p>
      <w:pPr>
        <w:ind w:firstLine="480"/>
        <w:rPr>
          <w:rFonts w:hint="eastAsia"/>
        </w:rPr>
      </w:pPr>
    </w:p>
    <w:p>
      <w:pPr>
        <w:ind w:firstLine="480"/>
        <w:rPr>
          <w:rFonts w:hint="eastAsia"/>
        </w:rPr>
      </w:pPr>
    </w:p>
    <w:bookmarkEnd w:id="114"/>
    <w:p>
      <w:pPr>
        <w:pStyle w:val="2"/>
        <w:numPr>
          <w:ilvl w:val="0"/>
          <w:numId w:val="0"/>
        </w:numPr>
        <w:spacing w:before="163" w:after="163"/>
        <w:rPr>
          <w:rFonts w:cs="Times New Roman"/>
          <w:b w:val="0"/>
          <w:bCs w:val="0"/>
        </w:rPr>
      </w:pPr>
    </w:p>
    <w:sectPr>
      <w:pgSz w:w="11906" w:h="16838"/>
      <w:pgMar w:top="1440" w:right="1800" w:bottom="1440" w:left="1800" w:header="851" w:footer="992" w:gutter="0"/>
      <w:pgNumType w:fmt="numberInDash"/>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F2CAC6F1-E08E-4637-BC21-5B2ABA72EC73}"/>
  </w:font>
  <w:font w:name="Cambria">
    <w:panose1 w:val="02040503050406030204"/>
    <w:charset w:val="00"/>
    <w:family w:val="roman"/>
    <w:pitch w:val="default"/>
    <w:sig w:usb0="E00002FF" w:usb1="400004FF" w:usb2="00000000" w:usb3="00000000" w:csb0="2000019F" w:csb1="00000000"/>
    <w:embedRegular r:id="rId2" w:fontKey="{A1A58C2E-81F3-4B46-B9D8-756800FAF377}"/>
  </w:font>
  <w:font w:name="DengXian">
    <w:altName w:val="宋体"/>
    <w:panose1 w:val="02010600030101010101"/>
    <w:charset w:val="86"/>
    <w:family w:val="auto"/>
    <w:pitch w:val="default"/>
    <w:sig w:usb0="00000000" w:usb1="00000000" w:usb2="00000016" w:usb3="00000000" w:csb0="0004000F" w:csb1="00000000"/>
    <w:embedRegular r:id="rId3" w:fontKey="{F84D9E84-F9E5-4C90-B3A8-CBEFB2AD2BDB}"/>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22EA67C-B6C1-4B72-BF53-F2FF8FD669C4}"/>
  </w:font>
  <w:font w:name="方正小标宋_GBK">
    <w:panose1 w:val="03000509000000000000"/>
    <w:charset w:val="86"/>
    <w:family w:val="script"/>
    <w:pitch w:val="default"/>
    <w:sig w:usb0="00000001" w:usb1="080E0000" w:usb2="00000000" w:usb3="00000000" w:csb0="00040000" w:csb1="00000000"/>
    <w:embedRegular r:id="rId5" w:fontKey="{56D20374-12E5-4E65-BBA0-A614D37AEFD2}"/>
  </w:font>
  <w:font w:name="方正仿宋_GBK">
    <w:panose1 w:val="03000509000000000000"/>
    <w:charset w:val="86"/>
    <w:family w:val="script"/>
    <w:pitch w:val="default"/>
    <w:sig w:usb0="00000001" w:usb1="080E0000" w:usb2="00000000" w:usb3="00000000" w:csb0="00040000" w:csb1="00000000"/>
    <w:embedRegular r:id="rId6" w:fontKey="{61802305-39A4-4D81-8085-F2E79BE1276D}"/>
  </w:font>
  <w:font w:name="DengXian Light">
    <w:altName w:val="宋体"/>
    <w:panose1 w:val="00000000000000000000"/>
    <w:charset w:val="86"/>
    <w:family w:val="auto"/>
    <w:pitch w:val="default"/>
    <w:sig w:usb0="00000000" w:usb1="00000000" w:usb2="00000016" w:usb3="00000000" w:csb0="0004000F" w:csb1="00000000"/>
    <w:embedRegular r:id="rId7" w:fontKey="{BD80BF66-A884-4725-95D9-632D42A814E6}"/>
  </w:font>
  <w:font w:name="Cambria Math">
    <w:panose1 w:val="02040503050406030204"/>
    <w:charset w:val="00"/>
    <w:family w:val="roman"/>
    <w:pitch w:val="default"/>
    <w:sig w:usb0="E00002FF" w:usb1="420024FF" w:usb2="00000000" w:usb3="00000000" w:csb0="2000019F" w:csb1="00000000"/>
    <w:embedRegular r:id="rId8" w:fontKey="{EC7C1862-7983-48D9-9A88-A77440D6B604}"/>
  </w:font>
  <w:font w:name="微软雅黑">
    <w:panose1 w:val="020B0503020204020204"/>
    <w:charset w:val="86"/>
    <w:family w:val="swiss"/>
    <w:pitch w:val="default"/>
    <w:sig w:usb0="80000287" w:usb1="280F3C52" w:usb2="00000016" w:usb3="00000000" w:csb0="0004001F" w:csb1="00000000"/>
    <w:embedRegular r:id="rId9" w:fontKey="{280A15D3-2CD4-49BA-9F3A-DF9315800754}"/>
  </w:font>
  <w:font w:name="等线">
    <w:altName w:val="微软雅黑"/>
    <w:panose1 w:val="00000000000000000000"/>
    <w:charset w:val="00"/>
    <w:family w:val="auto"/>
    <w:pitch w:val="default"/>
    <w:sig w:usb0="00000000" w:usb1="00000000" w:usb2="00000000" w:usb3="00000000" w:csb0="00000000" w:csb1="00000000"/>
  </w:font>
  <w:font w:name="方正黑体_GBK">
    <w:panose1 w:val="03000509000000000000"/>
    <w:charset w:val="86"/>
    <w:family w:val="auto"/>
    <w:pitch w:val="default"/>
    <w:sig w:usb0="00000001" w:usb1="080E0000" w:usb2="00000000" w:usb3="00000000" w:csb0="00040000" w:csb1="00000000"/>
    <w:embedRegular r:id="rId10" w:fontKey="{911E297B-E02E-4BE0-88BF-EBCA54168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2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5" w:firstLine="360"/>
      <w:rPr>
        <w:rFonts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21"/>
                      <w:ind w:firstLine="36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firstLine="360"/>
      <w:rPr>
        <w:rFonts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21"/>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pStyle w:val="2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7327022"/>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17</w:t>
        </w:r>
        <w:r>
          <w:rPr>
            <w:lang w:val="zh-CN"/>
          </w:rPr>
          <w:fldChar w:fldCharType="end"/>
        </w:r>
      </w:p>
    </w:sdtContent>
  </w:sdt>
  <w:p>
    <w:pPr>
      <w:pStyle w:val="2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3"/>
      <w:suff w:val="nothing"/>
      <w:lvlText w:val="%1%2.%3　"/>
      <w:lvlJc w:val="left"/>
      <w:pPr>
        <w:ind w:left="0" w:firstLine="0"/>
      </w:pPr>
      <w:rPr>
        <w:rFonts w:hint="eastAsia" w:ascii="黑体" w:hAnsi="Times New Roman" w:eastAsia="黑体"/>
        <w:b w:val="0"/>
        <w:i w:val="0"/>
        <w:sz w:val="21"/>
      </w:rPr>
    </w:lvl>
    <w:lvl w:ilvl="3" w:tentative="0">
      <w:start w:val="1"/>
      <w:numFmt w:val="decimal"/>
      <w:pStyle w:val="59"/>
      <w:suff w:val="nothing"/>
      <w:lvlText w:val="%1%2.%3.%4　"/>
      <w:lvlJc w:val="left"/>
      <w:pPr>
        <w:ind w:left="0" w:firstLine="0"/>
      </w:pPr>
      <w:rPr>
        <w:rFonts w:hint="eastAsia" w:ascii="黑体" w:hAnsi="Times New Roman" w:eastAsia="黑体"/>
        <w:b w:val="0"/>
        <w:i w:val="0"/>
        <w:sz w:val="21"/>
      </w:rPr>
    </w:lvl>
    <w:lvl w:ilvl="4" w:tentative="0">
      <w:start w:val="1"/>
      <w:numFmt w:val="decimal"/>
      <w:pStyle w:val="61"/>
      <w:suff w:val="nothing"/>
      <w:lvlText w:val="%1%2.%3.%4.%5　"/>
      <w:lvlJc w:val="left"/>
      <w:pPr>
        <w:ind w:left="0" w:firstLine="0"/>
      </w:pPr>
      <w:rPr>
        <w:rFonts w:hint="eastAsia" w:ascii="黑体" w:hAnsi="Times New Roman" w:eastAsia="黑体"/>
        <w:b w:val="0"/>
        <w:i w:val="0"/>
        <w:sz w:val="21"/>
      </w:rPr>
    </w:lvl>
    <w:lvl w:ilvl="5" w:tentative="0">
      <w:start w:val="1"/>
      <w:numFmt w:val="decimal"/>
      <w:pStyle w:val="60"/>
      <w:suff w:val="nothing"/>
      <w:lvlText w:val="%1%2.%3.%4.%5.%6　"/>
      <w:lvlJc w:val="left"/>
      <w:pPr>
        <w:ind w:left="0" w:firstLine="0"/>
      </w:pPr>
      <w:rPr>
        <w:rFonts w:hint="eastAsia" w:ascii="黑体" w:hAnsi="Times New Roman" w:eastAsia="黑体"/>
        <w:b w:val="0"/>
        <w:i w:val="0"/>
        <w:sz w:val="21"/>
      </w:rPr>
    </w:lvl>
    <w:lvl w:ilvl="6" w:tentative="0">
      <w:start w:val="1"/>
      <w:numFmt w:val="decimal"/>
      <w:pStyle w:val="6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145955C9"/>
    <w:multiLevelType w:val="multilevel"/>
    <w:tmpl w:val="145955C9"/>
    <w:lvl w:ilvl="0" w:tentative="0">
      <w:start w:val="1"/>
      <w:numFmt w:val="decimal"/>
      <w:pStyle w:val="5"/>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C5917C3"/>
    <w:multiLevelType w:val="multilevel"/>
    <w:tmpl w:val="2C5917C3"/>
    <w:lvl w:ilvl="0" w:tentative="0">
      <w:start w:val="1"/>
      <w:numFmt w:val="none"/>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
    <w:nsid w:val="41ED55D8"/>
    <w:multiLevelType w:val="multilevel"/>
    <w:tmpl w:val="41ED55D8"/>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4">
    <w:nsid w:val="6E8827F2"/>
    <w:multiLevelType w:val="multilevel"/>
    <w:tmpl w:val="6E8827F2"/>
    <w:lvl w:ilvl="0" w:tentative="0">
      <w:start w:val="1"/>
      <w:numFmt w:val="decimal"/>
      <w:pStyle w:val="49"/>
      <w:suff w:val="nothing"/>
      <w:lvlText w:val="图%1　 "/>
      <w:lvlJc w:val="left"/>
      <w:pPr>
        <w:ind w:left="3403" w:firstLine="0"/>
      </w:pPr>
      <w:rPr>
        <w:rFonts w:hint="eastAsia" w:ascii="黑体" w:hAnsi="Times New Roman" w:eastAsia="黑体"/>
        <w:b w:val="0"/>
        <w:i w:val="0"/>
        <w:sz w:val="21"/>
      </w:rPr>
    </w:lvl>
    <w:lvl w:ilvl="1" w:tentative="0">
      <w:start w:val="1"/>
      <w:numFmt w:val="decimal"/>
      <w:lvlText w:val="%1.%2"/>
      <w:lvlJc w:val="left"/>
      <w:pPr>
        <w:tabs>
          <w:tab w:val="left" w:pos="3687"/>
        </w:tabs>
        <w:ind w:left="3687" w:hanging="567"/>
      </w:pPr>
      <w:rPr>
        <w:rFonts w:hint="eastAsia"/>
      </w:rPr>
    </w:lvl>
    <w:lvl w:ilvl="2" w:tentative="0">
      <w:start w:val="1"/>
      <w:numFmt w:val="decimal"/>
      <w:lvlText w:val="%1.%2.%3"/>
      <w:lvlJc w:val="left"/>
      <w:pPr>
        <w:tabs>
          <w:tab w:val="left" w:pos="4113"/>
        </w:tabs>
        <w:ind w:left="4113" w:hanging="567"/>
      </w:pPr>
      <w:rPr>
        <w:rFonts w:hint="eastAsia"/>
      </w:rPr>
    </w:lvl>
    <w:lvl w:ilvl="3" w:tentative="0">
      <w:start w:val="1"/>
      <w:numFmt w:val="decimal"/>
      <w:lvlText w:val="%1.%2.%3.%4"/>
      <w:lvlJc w:val="left"/>
      <w:pPr>
        <w:tabs>
          <w:tab w:val="left" w:pos="4679"/>
        </w:tabs>
        <w:ind w:left="4679" w:hanging="708"/>
      </w:pPr>
      <w:rPr>
        <w:rFonts w:hint="eastAsia"/>
      </w:rPr>
    </w:lvl>
    <w:lvl w:ilvl="4" w:tentative="0">
      <w:start w:val="1"/>
      <w:numFmt w:val="decimal"/>
      <w:lvlText w:val="%1.%2.%3.%4.%5"/>
      <w:lvlJc w:val="left"/>
      <w:pPr>
        <w:tabs>
          <w:tab w:val="left" w:pos="5246"/>
        </w:tabs>
        <w:ind w:left="5246" w:hanging="850"/>
      </w:pPr>
      <w:rPr>
        <w:rFonts w:hint="eastAsia"/>
      </w:rPr>
    </w:lvl>
    <w:lvl w:ilvl="5" w:tentative="0">
      <w:start w:val="1"/>
      <w:numFmt w:val="decimal"/>
      <w:lvlText w:val="%1.%2.%3.%4.%5.%6"/>
      <w:lvlJc w:val="left"/>
      <w:pPr>
        <w:tabs>
          <w:tab w:val="left" w:pos="5955"/>
        </w:tabs>
        <w:ind w:left="5955" w:hanging="1134"/>
      </w:pPr>
      <w:rPr>
        <w:rFonts w:hint="eastAsia"/>
      </w:rPr>
    </w:lvl>
    <w:lvl w:ilvl="6" w:tentative="0">
      <w:start w:val="1"/>
      <w:numFmt w:val="decimal"/>
      <w:lvlText w:val="%1.%2.%3.%4.%5.%6.%7"/>
      <w:lvlJc w:val="left"/>
      <w:pPr>
        <w:tabs>
          <w:tab w:val="left" w:pos="6522"/>
        </w:tabs>
        <w:ind w:left="6522" w:hanging="1276"/>
      </w:pPr>
      <w:rPr>
        <w:rFonts w:hint="eastAsia"/>
      </w:rPr>
    </w:lvl>
    <w:lvl w:ilvl="7" w:tentative="0">
      <w:start w:val="1"/>
      <w:numFmt w:val="decimal"/>
      <w:lvlText w:val="%1.%2.%3.%4.%5.%6.%7.%8"/>
      <w:lvlJc w:val="left"/>
      <w:pPr>
        <w:tabs>
          <w:tab w:val="left" w:pos="7089"/>
        </w:tabs>
        <w:ind w:left="7089" w:hanging="1418"/>
      </w:pPr>
      <w:rPr>
        <w:rFonts w:hint="eastAsia"/>
      </w:rPr>
    </w:lvl>
    <w:lvl w:ilvl="8" w:tentative="0">
      <w:start w:val="1"/>
      <w:numFmt w:val="decimal"/>
      <w:lvlText w:val="%1.%2.%3.%4.%5.%6.%7.%8.%9"/>
      <w:lvlJc w:val="left"/>
      <w:pPr>
        <w:tabs>
          <w:tab w:val="left" w:pos="7797"/>
        </w:tabs>
        <w:ind w:left="7797" w:hanging="1700"/>
      </w:pPr>
      <w:rPr>
        <w:rFonts w:hint="eastAsia"/>
      </w:rPr>
    </w:lvl>
  </w:abstractNum>
  <w:num w:numId="1">
    <w:abstractNumId w:val="3"/>
  </w:num>
  <w:num w:numId="2">
    <w:abstractNumId w:val="1"/>
  </w:num>
  <w:num w:numId="3">
    <w:abstractNumId w:val="4"/>
  </w:num>
  <w:num w:numId="4">
    <w:abstractNumId w:val="0"/>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embedTrueTypeFonts/>
  <w:saveSubsetFonts/>
  <w:bordersDoNotSurroundHeader w:val="1"/>
  <w:bordersDoNotSurroundFooter w:val="1"/>
  <w:revisionView w:markup="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xOTVkN2ZmMjVjM2EzNTY4MWNhM2I2OGZkMjAyOTMifQ=="/>
  </w:docVars>
  <w:rsids>
    <w:rsidRoot w:val="00292BDD"/>
    <w:rsid w:val="00001B71"/>
    <w:rsid w:val="000056E0"/>
    <w:rsid w:val="00006E22"/>
    <w:rsid w:val="000104C8"/>
    <w:rsid w:val="0001462E"/>
    <w:rsid w:val="00014E8D"/>
    <w:rsid w:val="00016260"/>
    <w:rsid w:val="000203B4"/>
    <w:rsid w:val="00020C1E"/>
    <w:rsid w:val="00023834"/>
    <w:rsid w:val="00025A22"/>
    <w:rsid w:val="00030535"/>
    <w:rsid w:val="00030978"/>
    <w:rsid w:val="00033B0E"/>
    <w:rsid w:val="0004148A"/>
    <w:rsid w:val="000418E0"/>
    <w:rsid w:val="0004279A"/>
    <w:rsid w:val="000442C2"/>
    <w:rsid w:val="00046C33"/>
    <w:rsid w:val="00050E9A"/>
    <w:rsid w:val="0005185F"/>
    <w:rsid w:val="00052F60"/>
    <w:rsid w:val="00052F97"/>
    <w:rsid w:val="00054249"/>
    <w:rsid w:val="00055A20"/>
    <w:rsid w:val="00055BE7"/>
    <w:rsid w:val="0005610C"/>
    <w:rsid w:val="00057CE9"/>
    <w:rsid w:val="00060592"/>
    <w:rsid w:val="0006194C"/>
    <w:rsid w:val="00062526"/>
    <w:rsid w:val="000629E3"/>
    <w:rsid w:val="00063EB4"/>
    <w:rsid w:val="000649F2"/>
    <w:rsid w:val="0006571C"/>
    <w:rsid w:val="00074BAB"/>
    <w:rsid w:val="00077A4D"/>
    <w:rsid w:val="00080281"/>
    <w:rsid w:val="0008218D"/>
    <w:rsid w:val="00083B64"/>
    <w:rsid w:val="000869E1"/>
    <w:rsid w:val="00087B8C"/>
    <w:rsid w:val="00091C96"/>
    <w:rsid w:val="0009284B"/>
    <w:rsid w:val="000943BE"/>
    <w:rsid w:val="000949BD"/>
    <w:rsid w:val="000A3198"/>
    <w:rsid w:val="000A380B"/>
    <w:rsid w:val="000A4532"/>
    <w:rsid w:val="000A5338"/>
    <w:rsid w:val="000B1226"/>
    <w:rsid w:val="000B1A8D"/>
    <w:rsid w:val="000B26AC"/>
    <w:rsid w:val="000B6FB0"/>
    <w:rsid w:val="000B7B49"/>
    <w:rsid w:val="000C0435"/>
    <w:rsid w:val="000C3B8D"/>
    <w:rsid w:val="000C47AD"/>
    <w:rsid w:val="000C73E3"/>
    <w:rsid w:val="000D0660"/>
    <w:rsid w:val="000D518C"/>
    <w:rsid w:val="000D6AE7"/>
    <w:rsid w:val="000E183C"/>
    <w:rsid w:val="000E3C52"/>
    <w:rsid w:val="000E567D"/>
    <w:rsid w:val="000E7F14"/>
    <w:rsid w:val="000F03ED"/>
    <w:rsid w:val="000F19C1"/>
    <w:rsid w:val="000F24F3"/>
    <w:rsid w:val="000F5E7D"/>
    <w:rsid w:val="000F5F44"/>
    <w:rsid w:val="00104841"/>
    <w:rsid w:val="00104A96"/>
    <w:rsid w:val="001071E8"/>
    <w:rsid w:val="00110F6C"/>
    <w:rsid w:val="001112AC"/>
    <w:rsid w:val="00111698"/>
    <w:rsid w:val="00113B4F"/>
    <w:rsid w:val="001169D9"/>
    <w:rsid w:val="00116E74"/>
    <w:rsid w:val="00117F8B"/>
    <w:rsid w:val="001255B3"/>
    <w:rsid w:val="00127C05"/>
    <w:rsid w:val="00130C2A"/>
    <w:rsid w:val="00130C5B"/>
    <w:rsid w:val="001422AF"/>
    <w:rsid w:val="00144715"/>
    <w:rsid w:val="00156086"/>
    <w:rsid w:val="00156388"/>
    <w:rsid w:val="0016208C"/>
    <w:rsid w:val="0016234F"/>
    <w:rsid w:val="001641DB"/>
    <w:rsid w:val="001670BC"/>
    <w:rsid w:val="001716FA"/>
    <w:rsid w:val="001719C5"/>
    <w:rsid w:val="0017234D"/>
    <w:rsid w:val="0017393A"/>
    <w:rsid w:val="0017534F"/>
    <w:rsid w:val="00177279"/>
    <w:rsid w:val="00177532"/>
    <w:rsid w:val="001778EE"/>
    <w:rsid w:val="00181A78"/>
    <w:rsid w:val="0018463E"/>
    <w:rsid w:val="00185479"/>
    <w:rsid w:val="001909C1"/>
    <w:rsid w:val="00195BAA"/>
    <w:rsid w:val="00195E49"/>
    <w:rsid w:val="00197BE1"/>
    <w:rsid w:val="00197FC9"/>
    <w:rsid w:val="001A32D0"/>
    <w:rsid w:val="001A40EF"/>
    <w:rsid w:val="001A5AB6"/>
    <w:rsid w:val="001B1101"/>
    <w:rsid w:val="001B1950"/>
    <w:rsid w:val="001B39F3"/>
    <w:rsid w:val="001B3DE3"/>
    <w:rsid w:val="001B792E"/>
    <w:rsid w:val="001C24C0"/>
    <w:rsid w:val="001C4480"/>
    <w:rsid w:val="001D003E"/>
    <w:rsid w:val="001D248D"/>
    <w:rsid w:val="001D332F"/>
    <w:rsid w:val="001D52F3"/>
    <w:rsid w:val="001E0792"/>
    <w:rsid w:val="001E4707"/>
    <w:rsid w:val="001E585A"/>
    <w:rsid w:val="001E6244"/>
    <w:rsid w:val="001F21AE"/>
    <w:rsid w:val="001F58AA"/>
    <w:rsid w:val="001F6D69"/>
    <w:rsid w:val="001F7A89"/>
    <w:rsid w:val="00201AA8"/>
    <w:rsid w:val="00204F7C"/>
    <w:rsid w:val="00205875"/>
    <w:rsid w:val="00207BBF"/>
    <w:rsid w:val="002109F2"/>
    <w:rsid w:val="00210C50"/>
    <w:rsid w:val="0021216E"/>
    <w:rsid w:val="00212D7A"/>
    <w:rsid w:val="00212F85"/>
    <w:rsid w:val="00214602"/>
    <w:rsid w:val="00214847"/>
    <w:rsid w:val="002154BA"/>
    <w:rsid w:val="00220D61"/>
    <w:rsid w:val="00221EDC"/>
    <w:rsid w:val="00223A7A"/>
    <w:rsid w:val="00224A6D"/>
    <w:rsid w:val="00226152"/>
    <w:rsid w:val="00227028"/>
    <w:rsid w:val="0022704D"/>
    <w:rsid w:val="00233367"/>
    <w:rsid w:val="002355AC"/>
    <w:rsid w:val="00237468"/>
    <w:rsid w:val="0023789E"/>
    <w:rsid w:val="00241F82"/>
    <w:rsid w:val="0025466A"/>
    <w:rsid w:val="00254BC2"/>
    <w:rsid w:val="00262DAA"/>
    <w:rsid w:val="00262FF4"/>
    <w:rsid w:val="002647C0"/>
    <w:rsid w:val="00265A03"/>
    <w:rsid w:val="002678F1"/>
    <w:rsid w:val="0027237B"/>
    <w:rsid w:val="002746EC"/>
    <w:rsid w:val="002753C7"/>
    <w:rsid w:val="00275AB2"/>
    <w:rsid w:val="00276D70"/>
    <w:rsid w:val="00277456"/>
    <w:rsid w:val="002827D5"/>
    <w:rsid w:val="00290D4F"/>
    <w:rsid w:val="00290F05"/>
    <w:rsid w:val="00292BDD"/>
    <w:rsid w:val="00295D78"/>
    <w:rsid w:val="00296FDA"/>
    <w:rsid w:val="002A0377"/>
    <w:rsid w:val="002A1C6E"/>
    <w:rsid w:val="002A39CC"/>
    <w:rsid w:val="002A4937"/>
    <w:rsid w:val="002A499D"/>
    <w:rsid w:val="002A6C0D"/>
    <w:rsid w:val="002B602E"/>
    <w:rsid w:val="002B736F"/>
    <w:rsid w:val="002B74DC"/>
    <w:rsid w:val="002C134C"/>
    <w:rsid w:val="002D04A7"/>
    <w:rsid w:val="002D0966"/>
    <w:rsid w:val="002D3608"/>
    <w:rsid w:val="002E0085"/>
    <w:rsid w:val="002E06D0"/>
    <w:rsid w:val="002E13B3"/>
    <w:rsid w:val="002E1A25"/>
    <w:rsid w:val="002E38F4"/>
    <w:rsid w:val="002E4ED5"/>
    <w:rsid w:val="002F2486"/>
    <w:rsid w:val="002F39AB"/>
    <w:rsid w:val="002F3D80"/>
    <w:rsid w:val="00300588"/>
    <w:rsid w:val="00302CC9"/>
    <w:rsid w:val="00303763"/>
    <w:rsid w:val="00311B85"/>
    <w:rsid w:val="00311DCD"/>
    <w:rsid w:val="00313C39"/>
    <w:rsid w:val="003157D6"/>
    <w:rsid w:val="00316649"/>
    <w:rsid w:val="00317E7C"/>
    <w:rsid w:val="00320685"/>
    <w:rsid w:val="00324920"/>
    <w:rsid w:val="003268D4"/>
    <w:rsid w:val="00326DB3"/>
    <w:rsid w:val="00331019"/>
    <w:rsid w:val="00331F17"/>
    <w:rsid w:val="003320FD"/>
    <w:rsid w:val="003326BF"/>
    <w:rsid w:val="00332998"/>
    <w:rsid w:val="00341003"/>
    <w:rsid w:val="00341AE4"/>
    <w:rsid w:val="003426BF"/>
    <w:rsid w:val="00346D21"/>
    <w:rsid w:val="00347462"/>
    <w:rsid w:val="003502B7"/>
    <w:rsid w:val="00351881"/>
    <w:rsid w:val="00352D0F"/>
    <w:rsid w:val="0035534F"/>
    <w:rsid w:val="00360543"/>
    <w:rsid w:val="003610E2"/>
    <w:rsid w:val="00370703"/>
    <w:rsid w:val="00371FB6"/>
    <w:rsid w:val="00374A96"/>
    <w:rsid w:val="00381030"/>
    <w:rsid w:val="003831E2"/>
    <w:rsid w:val="00384AE4"/>
    <w:rsid w:val="00390E5A"/>
    <w:rsid w:val="00391FF2"/>
    <w:rsid w:val="00395697"/>
    <w:rsid w:val="003A0B67"/>
    <w:rsid w:val="003A2D6F"/>
    <w:rsid w:val="003A52C1"/>
    <w:rsid w:val="003A54EC"/>
    <w:rsid w:val="003A609B"/>
    <w:rsid w:val="003A6ACA"/>
    <w:rsid w:val="003A6C36"/>
    <w:rsid w:val="003A7C82"/>
    <w:rsid w:val="003B3A49"/>
    <w:rsid w:val="003B50DB"/>
    <w:rsid w:val="003B798A"/>
    <w:rsid w:val="003C0FE9"/>
    <w:rsid w:val="003C2DEC"/>
    <w:rsid w:val="003C3664"/>
    <w:rsid w:val="003C426D"/>
    <w:rsid w:val="003C68BC"/>
    <w:rsid w:val="003C79AB"/>
    <w:rsid w:val="003D1D57"/>
    <w:rsid w:val="003D452B"/>
    <w:rsid w:val="003E0C0F"/>
    <w:rsid w:val="003E1C89"/>
    <w:rsid w:val="003E6279"/>
    <w:rsid w:val="003E688B"/>
    <w:rsid w:val="003E77E7"/>
    <w:rsid w:val="003F3641"/>
    <w:rsid w:val="003F59FB"/>
    <w:rsid w:val="003F75E9"/>
    <w:rsid w:val="00400C37"/>
    <w:rsid w:val="00402441"/>
    <w:rsid w:val="00404E6B"/>
    <w:rsid w:val="0040705E"/>
    <w:rsid w:val="004078B9"/>
    <w:rsid w:val="00413BE8"/>
    <w:rsid w:val="004155A5"/>
    <w:rsid w:val="00416A6F"/>
    <w:rsid w:val="00417F71"/>
    <w:rsid w:val="004221D5"/>
    <w:rsid w:val="00424E7E"/>
    <w:rsid w:val="00425788"/>
    <w:rsid w:val="00432408"/>
    <w:rsid w:val="0043654E"/>
    <w:rsid w:val="0044238F"/>
    <w:rsid w:val="00442C77"/>
    <w:rsid w:val="00442CE0"/>
    <w:rsid w:val="00443662"/>
    <w:rsid w:val="00443B18"/>
    <w:rsid w:val="00445D5F"/>
    <w:rsid w:val="004472AC"/>
    <w:rsid w:val="00447A75"/>
    <w:rsid w:val="00452B19"/>
    <w:rsid w:val="00454653"/>
    <w:rsid w:val="00454E60"/>
    <w:rsid w:val="004560C5"/>
    <w:rsid w:val="00456EF0"/>
    <w:rsid w:val="00457567"/>
    <w:rsid w:val="00460235"/>
    <w:rsid w:val="00460311"/>
    <w:rsid w:val="00460335"/>
    <w:rsid w:val="00461B27"/>
    <w:rsid w:val="004637C2"/>
    <w:rsid w:val="004639A1"/>
    <w:rsid w:val="004658F4"/>
    <w:rsid w:val="00465ADB"/>
    <w:rsid w:val="00466BC3"/>
    <w:rsid w:val="00467C1D"/>
    <w:rsid w:val="00471D0E"/>
    <w:rsid w:val="004740EE"/>
    <w:rsid w:val="0047463C"/>
    <w:rsid w:val="0047597E"/>
    <w:rsid w:val="00480550"/>
    <w:rsid w:val="00481D74"/>
    <w:rsid w:val="0048275B"/>
    <w:rsid w:val="004846DF"/>
    <w:rsid w:val="00485259"/>
    <w:rsid w:val="0048766E"/>
    <w:rsid w:val="00487D3A"/>
    <w:rsid w:val="00493515"/>
    <w:rsid w:val="00493885"/>
    <w:rsid w:val="00494CDD"/>
    <w:rsid w:val="004A1C65"/>
    <w:rsid w:val="004A37C5"/>
    <w:rsid w:val="004A5470"/>
    <w:rsid w:val="004A6E44"/>
    <w:rsid w:val="004B12EE"/>
    <w:rsid w:val="004B4961"/>
    <w:rsid w:val="004C13C9"/>
    <w:rsid w:val="004C261C"/>
    <w:rsid w:val="004C7802"/>
    <w:rsid w:val="004D0C9C"/>
    <w:rsid w:val="004D3146"/>
    <w:rsid w:val="004D4E96"/>
    <w:rsid w:val="004D6D9D"/>
    <w:rsid w:val="004E385F"/>
    <w:rsid w:val="004E3D48"/>
    <w:rsid w:val="004E55C2"/>
    <w:rsid w:val="004E5B17"/>
    <w:rsid w:val="004F2778"/>
    <w:rsid w:val="004F2897"/>
    <w:rsid w:val="004F3F9C"/>
    <w:rsid w:val="004F4880"/>
    <w:rsid w:val="004F64D9"/>
    <w:rsid w:val="004F7427"/>
    <w:rsid w:val="004F7D5B"/>
    <w:rsid w:val="00500466"/>
    <w:rsid w:val="00502963"/>
    <w:rsid w:val="00503E21"/>
    <w:rsid w:val="00507D9A"/>
    <w:rsid w:val="0051026D"/>
    <w:rsid w:val="0051093B"/>
    <w:rsid w:val="00511E8F"/>
    <w:rsid w:val="00513145"/>
    <w:rsid w:val="00517808"/>
    <w:rsid w:val="00520940"/>
    <w:rsid w:val="00521738"/>
    <w:rsid w:val="00521E7F"/>
    <w:rsid w:val="0052219A"/>
    <w:rsid w:val="00522DC4"/>
    <w:rsid w:val="005301D9"/>
    <w:rsid w:val="00535B17"/>
    <w:rsid w:val="00535CA1"/>
    <w:rsid w:val="00536329"/>
    <w:rsid w:val="00536649"/>
    <w:rsid w:val="00542CA7"/>
    <w:rsid w:val="00543250"/>
    <w:rsid w:val="00544D23"/>
    <w:rsid w:val="0054557D"/>
    <w:rsid w:val="0054570F"/>
    <w:rsid w:val="00545C94"/>
    <w:rsid w:val="00545D28"/>
    <w:rsid w:val="00546572"/>
    <w:rsid w:val="005501BE"/>
    <w:rsid w:val="00553025"/>
    <w:rsid w:val="00554CDE"/>
    <w:rsid w:val="00554E29"/>
    <w:rsid w:val="00557E3E"/>
    <w:rsid w:val="00561BC3"/>
    <w:rsid w:val="00561C96"/>
    <w:rsid w:val="005632B3"/>
    <w:rsid w:val="00566B57"/>
    <w:rsid w:val="0056747B"/>
    <w:rsid w:val="00567609"/>
    <w:rsid w:val="005704DF"/>
    <w:rsid w:val="005755A0"/>
    <w:rsid w:val="00576469"/>
    <w:rsid w:val="005778D0"/>
    <w:rsid w:val="00577D9B"/>
    <w:rsid w:val="00580020"/>
    <w:rsid w:val="00581E54"/>
    <w:rsid w:val="00591309"/>
    <w:rsid w:val="00592D45"/>
    <w:rsid w:val="0059627C"/>
    <w:rsid w:val="005A119C"/>
    <w:rsid w:val="005A1DED"/>
    <w:rsid w:val="005A1F66"/>
    <w:rsid w:val="005A2062"/>
    <w:rsid w:val="005A32A0"/>
    <w:rsid w:val="005A4D58"/>
    <w:rsid w:val="005A6705"/>
    <w:rsid w:val="005A7098"/>
    <w:rsid w:val="005B2900"/>
    <w:rsid w:val="005B3110"/>
    <w:rsid w:val="005B495A"/>
    <w:rsid w:val="005B52CF"/>
    <w:rsid w:val="005B74F5"/>
    <w:rsid w:val="005B7906"/>
    <w:rsid w:val="005C1222"/>
    <w:rsid w:val="005C2639"/>
    <w:rsid w:val="005C5D69"/>
    <w:rsid w:val="005C71F4"/>
    <w:rsid w:val="005D0A68"/>
    <w:rsid w:val="005D18BD"/>
    <w:rsid w:val="005D1C2E"/>
    <w:rsid w:val="005D1D53"/>
    <w:rsid w:val="005D31F0"/>
    <w:rsid w:val="005D57AE"/>
    <w:rsid w:val="005D6DF9"/>
    <w:rsid w:val="005E45ED"/>
    <w:rsid w:val="005E6104"/>
    <w:rsid w:val="005F1E71"/>
    <w:rsid w:val="005F2601"/>
    <w:rsid w:val="00603667"/>
    <w:rsid w:val="00604FF7"/>
    <w:rsid w:val="006061CD"/>
    <w:rsid w:val="0061181D"/>
    <w:rsid w:val="00612F69"/>
    <w:rsid w:val="00613650"/>
    <w:rsid w:val="00613B55"/>
    <w:rsid w:val="00613DBE"/>
    <w:rsid w:val="00615A5D"/>
    <w:rsid w:val="00617010"/>
    <w:rsid w:val="00622E91"/>
    <w:rsid w:val="006238A1"/>
    <w:rsid w:val="006258B8"/>
    <w:rsid w:val="00631F21"/>
    <w:rsid w:val="00633C1E"/>
    <w:rsid w:val="00634185"/>
    <w:rsid w:val="0063421C"/>
    <w:rsid w:val="0063438D"/>
    <w:rsid w:val="006370BA"/>
    <w:rsid w:val="00637AC9"/>
    <w:rsid w:val="00640785"/>
    <w:rsid w:val="00640FEE"/>
    <w:rsid w:val="0064174E"/>
    <w:rsid w:val="00642B0D"/>
    <w:rsid w:val="00642C71"/>
    <w:rsid w:val="00647024"/>
    <w:rsid w:val="00650EB3"/>
    <w:rsid w:val="0065146D"/>
    <w:rsid w:val="00653C14"/>
    <w:rsid w:val="0065536F"/>
    <w:rsid w:val="00656FED"/>
    <w:rsid w:val="00657B7D"/>
    <w:rsid w:val="00661A23"/>
    <w:rsid w:val="006627FD"/>
    <w:rsid w:val="006647DD"/>
    <w:rsid w:val="006658DC"/>
    <w:rsid w:val="00666E28"/>
    <w:rsid w:val="00670322"/>
    <w:rsid w:val="00670E8F"/>
    <w:rsid w:val="00671D30"/>
    <w:rsid w:val="00672175"/>
    <w:rsid w:val="00673499"/>
    <w:rsid w:val="00674662"/>
    <w:rsid w:val="00676195"/>
    <w:rsid w:val="00676D15"/>
    <w:rsid w:val="00677BEC"/>
    <w:rsid w:val="006813F6"/>
    <w:rsid w:val="00685085"/>
    <w:rsid w:val="00691213"/>
    <w:rsid w:val="00692EFB"/>
    <w:rsid w:val="0069779C"/>
    <w:rsid w:val="006A2E94"/>
    <w:rsid w:val="006A434D"/>
    <w:rsid w:val="006A5E51"/>
    <w:rsid w:val="006A6953"/>
    <w:rsid w:val="006B0C09"/>
    <w:rsid w:val="006B0F0A"/>
    <w:rsid w:val="006B154B"/>
    <w:rsid w:val="006B723C"/>
    <w:rsid w:val="006B7B1F"/>
    <w:rsid w:val="006C2534"/>
    <w:rsid w:val="006C26FA"/>
    <w:rsid w:val="006D0B85"/>
    <w:rsid w:val="006D0CE0"/>
    <w:rsid w:val="006D2F82"/>
    <w:rsid w:val="006D36F4"/>
    <w:rsid w:val="006D4379"/>
    <w:rsid w:val="006D49DC"/>
    <w:rsid w:val="006D56AC"/>
    <w:rsid w:val="006D574D"/>
    <w:rsid w:val="006E04ED"/>
    <w:rsid w:val="006E1F4C"/>
    <w:rsid w:val="006E3540"/>
    <w:rsid w:val="006E65B7"/>
    <w:rsid w:val="006E69EA"/>
    <w:rsid w:val="006E7EFE"/>
    <w:rsid w:val="006F1452"/>
    <w:rsid w:val="006F2447"/>
    <w:rsid w:val="006F24E3"/>
    <w:rsid w:val="006F4B81"/>
    <w:rsid w:val="006F7694"/>
    <w:rsid w:val="007011DF"/>
    <w:rsid w:val="00706C4D"/>
    <w:rsid w:val="00711344"/>
    <w:rsid w:val="00714441"/>
    <w:rsid w:val="00715977"/>
    <w:rsid w:val="007168E4"/>
    <w:rsid w:val="00720613"/>
    <w:rsid w:val="00721A5E"/>
    <w:rsid w:val="00721DD7"/>
    <w:rsid w:val="00722192"/>
    <w:rsid w:val="00725D8D"/>
    <w:rsid w:val="00726768"/>
    <w:rsid w:val="00731183"/>
    <w:rsid w:val="007331BB"/>
    <w:rsid w:val="00743C7A"/>
    <w:rsid w:val="0074503F"/>
    <w:rsid w:val="00745703"/>
    <w:rsid w:val="00745A78"/>
    <w:rsid w:val="00747220"/>
    <w:rsid w:val="00752601"/>
    <w:rsid w:val="00752ECF"/>
    <w:rsid w:val="007540BA"/>
    <w:rsid w:val="0075648C"/>
    <w:rsid w:val="007634D2"/>
    <w:rsid w:val="007669E3"/>
    <w:rsid w:val="00776A6A"/>
    <w:rsid w:val="007814F2"/>
    <w:rsid w:val="0078494B"/>
    <w:rsid w:val="00784ECE"/>
    <w:rsid w:val="00790310"/>
    <w:rsid w:val="0079285D"/>
    <w:rsid w:val="007937F9"/>
    <w:rsid w:val="0079468E"/>
    <w:rsid w:val="007955DD"/>
    <w:rsid w:val="00796075"/>
    <w:rsid w:val="00796188"/>
    <w:rsid w:val="0079791D"/>
    <w:rsid w:val="00797B5A"/>
    <w:rsid w:val="007A0468"/>
    <w:rsid w:val="007A058E"/>
    <w:rsid w:val="007A1645"/>
    <w:rsid w:val="007A2451"/>
    <w:rsid w:val="007A2852"/>
    <w:rsid w:val="007A76FF"/>
    <w:rsid w:val="007B0167"/>
    <w:rsid w:val="007B0EA8"/>
    <w:rsid w:val="007B214E"/>
    <w:rsid w:val="007B2971"/>
    <w:rsid w:val="007B2D59"/>
    <w:rsid w:val="007B3CDF"/>
    <w:rsid w:val="007B63D6"/>
    <w:rsid w:val="007C2D4F"/>
    <w:rsid w:val="007C37D7"/>
    <w:rsid w:val="007C4B14"/>
    <w:rsid w:val="007C6A6D"/>
    <w:rsid w:val="007D2AC6"/>
    <w:rsid w:val="007D32DF"/>
    <w:rsid w:val="007D5FC9"/>
    <w:rsid w:val="007D60F6"/>
    <w:rsid w:val="007D6AE0"/>
    <w:rsid w:val="007D7B8A"/>
    <w:rsid w:val="007E0459"/>
    <w:rsid w:val="007E5A9B"/>
    <w:rsid w:val="007E5ACE"/>
    <w:rsid w:val="007E6D08"/>
    <w:rsid w:val="007E6E87"/>
    <w:rsid w:val="007E6F33"/>
    <w:rsid w:val="007E7627"/>
    <w:rsid w:val="007F00B3"/>
    <w:rsid w:val="007F11D8"/>
    <w:rsid w:val="007F1611"/>
    <w:rsid w:val="007F34FF"/>
    <w:rsid w:val="007F420D"/>
    <w:rsid w:val="007F5332"/>
    <w:rsid w:val="007F6C48"/>
    <w:rsid w:val="007F7B68"/>
    <w:rsid w:val="0080105C"/>
    <w:rsid w:val="00801084"/>
    <w:rsid w:val="0080145C"/>
    <w:rsid w:val="00801F76"/>
    <w:rsid w:val="008027F9"/>
    <w:rsid w:val="00802B5A"/>
    <w:rsid w:val="00814DB2"/>
    <w:rsid w:val="00814EED"/>
    <w:rsid w:val="0081609B"/>
    <w:rsid w:val="008167C0"/>
    <w:rsid w:val="00817232"/>
    <w:rsid w:val="008202A5"/>
    <w:rsid w:val="00820683"/>
    <w:rsid w:val="00820E2E"/>
    <w:rsid w:val="00823E8F"/>
    <w:rsid w:val="00826AD2"/>
    <w:rsid w:val="00826B4A"/>
    <w:rsid w:val="008276B2"/>
    <w:rsid w:val="008309A5"/>
    <w:rsid w:val="00834F8A"/>
    <w:rsid w:val="00837CD9"/>
    <w:rsid w:val="00841946"/>
    <w:rsid w:val="00843D82"/>
    <w:rsid w:val="0084487C"/>
    <w:rsid w:val="008472E7"/>
    <w:rsid w:val="00855155"/>
    <w:rsid w:val="00856314"/>
    <w:rsid w:val="00857DA1"/>
    <w:rsid w:val="008611C1"/>
    <w:rsid w:val="00861FA3"/>
    <w:rsid w:val="008635A5"/>
    <w:rsid w:val="0086782D"/>
    <w:rsid w:val="0087006C"/>
    <w:rsid w:val="00875DDA"/>
    <w:rsid w:val="00876E3B"/>
    <w:rsid w:val="00877022"/>
    <w:rsid w:val="008839A0"/>
    <w:rsid w:val="00884465"/>
    <w:rsid w:val="00886813"/>
    <w:rsid w:val="00892578"/>
    <w:rsid w:val="00895B98"/>
    <w:rsid w:val="00896CAF"/>
    <w:rsid w:val="00896FF3"/>
    <w:rsid w:val="008A002A"/>
    <w:rsid w:val="008A14EF"/>
    <w:rsid w:val="008A2180"/>
    <w:rsid w:val="008A4F30"/>
    <w:rsid w:val="008B3286"/>
    <w:rsid w:val="008B4138"/>
    <w:rsid w:val="008B45AF"/>
    <w:rsid w:val="008B7257"/>
    <w:rsid w:val="008B7A3A"/>
    <w:rsid w:val="008C17B0"/>
    <w:rsid w:val="008C18DB"/>
    <w:rsid w:val="008C2B13"/>
    <w:rsid w:val="008C2B42"/>
    <w:rsid w:val="008C54E8"/>
    <w:rsid w:val="008D0517"/>
    <w:rsid w:val="008D1FA3"/>
    <w:rsid w:val="008D362B"/>
    <w:rsid w:val="008D582F"/>
    <w:rsid w:val="008E2A8A"/>
    <w:rsid w:val="008E5477"/>
    <w:rsid w:val="008E7092"/>
    <w:rsid w:val="008F03C2"/>
    <w:rsid w:val="008F55CA"/>
    <w:rsid w:val="00903383"/>
    <w:rsid w:val="009040FA"/>
    <w:rsid w:val="00905161"/>
    <w:rsid w:val="00905993"/>
    <w:rsid w:val="0090617C"/>
    <w:rsid w:val="00906AD5"/>
    <w:rsid w:val="00910558"/>
    <w:rsid w:val="00912752"/>
    <w:rsid w:val="0091366A"/>
    <w:rsid w:val="00913D5F"/>
    <w:rsid w:val="00913D76"/>
    <w:rsid w:val="00915679"/>
    <w:rsid w:val="00915D63"/>
    <w:rsid w:val="00917D41"/>
    <w:rsid w:val="009200F7"/>
    <w:rsid w:val="009235E1"/>
    <w:rsid w:val="00924836"/>
    <w:rsid w:val="00925135"/>
    <w:rsid w:val="0093160B"/>
    <w:rsid w:val="00933561"/>
    <w:rsid w:val="00935E4A"/>
    <w:rsid w:val="009426FD"/>
    <w:rsid w:val="00943046"/>
    <w:rsid w:val="00944125"/>
    <w:rsid w:val="0095042D"/>
    <w:rsid w:val="00953491"/>
    <w:rsid w:val="00953FD4"/>
    <w:rsid w:val="00960CF5"/>
    <w:rsid w:val="00961638"/>
    <w:rsid w:val="009625BC"/>
    <w:rsid w:val="00962BDF"/>
    <w:rsid w:val="009633A3"/>
    <w:rsid w:val="00966ABA"/>
    <w:rsid w:val="009704EC"/>
    <w:rsid w:val="0097153A"/>
    <w:rsid w:val="00971F1C"/>
    <w:rsid w:val="00973C1C"/>
    <w:rsid w:val="00973FC5"/>
    <w:rsid w:val="00975A30"/>
    <w:rsid w:val="00977317"/>
    <w:rsid w:val="0098002F"/>
    <w:rsid w:val="00982012"/>
    <w:rsid w:val="00982118"/>
    <w:rsid w:val="00982816"/>
    <w:rsid w:val="00983844"/>
    <w:rsid w:val="00986969"/>
    <w:rsid w:val="00991175"/>
    <w:rsid w:val="00991CBE"/>
    <w:rsid w:val="00991E3A"/>
    <w:rsid w:val="009942D9"/>
    <w:rsid w:val="00994A30"/>
    <w:rsid w:val="009974CC"/>
    <w:rsid w:val="009975F9"/>
    <w:rsid w:val="00997A12"/>
    <w:rsid w:val="009A07BE"/>
    <w:rsid w:val="009A10CB"/>
    <w:rsid w:val="009A2D2C"/>
    <w:rsid w:val="009A564D"/>
    <w:rsid w:val="009B3044"/>
    <w:rsid w:val="009B6F2B"/>
    <w:rsid w:val="009C42AE"/>
    <w:rsid w:val="009C6B45"/>
    <w:rsid w:val="009D0567"/>
    <w:rsid w:val="009D334C"/>
    <w:rsid w:val="009D582A"/>
    <w:rsid w:val="009E04DE"/>
    <w:rsid w:val="009E3031"/>
    <w:rsid w:val="009E4EEE"/>
    <w:rsid w:val="009E51F1"/>
    <w:rsid w:val="009E5524"/>
    <w:rsid w:val="009E6558"/>
    <w:rsid w:val="009E7BF7"/>
    <w:rsid w:val="009F0447"/>
    <w:rsid w:val="009F2E34"/>
    <w:rsid w:val="009F4171"/>
    <w:rsid w:val="009F41EC"/>
    <w:rsid w:val="009F42B9"/>
    <w:rsid w:val="009F4BDD"/>
    <w:rsid w:val="009F5DB5"/>
    <w:rsid w:val="009F69D6"/>
    <w:rsid w:val="00A00725"/>
    <w:rsid w:val="00A02423"/>
    <w:rsid w:val="00A055BA"/>
    <w:rsid w:val="00A05AC2"/>
    <w:rsid w:val="00A07AC9"/>
    <w:rsid w:val="00A10EA6"/>
    <w:rsid w:val="00A11E29"/>
    <w:rsid w:val="00A1447B"/>
    <w:rsid w:val="00A15749"/>
    <w:rsid w:val="00A218B6"/>
    <w:rsid w:val="00A21FC2"/>
    <w:rsid w:val="00A233AA"/>
    <w:rsid w:val="00A24589"/>
    <w:rsid w:val="00A24D6E"/>
    <w:rsid w:val="00A26109"/>
    <w:rsid w:val="00A27764"/>
    <w:rsid w:val="00A30622"/>
    <w:rsid w:val="00A30B1A"/>
    <w:rsid w:val="00A34879"/>
    <w:rsid w:val="00A437B5"/>
    <w:rsid w:val="00A512DE"/>
    <w:rsid w:val="00A53654"/>
    <w:rsid w:val="00A56E9F"/>
    <w:rsid w:val="00A61568"/>
    <w:rsid w:val="00A653B7"/>
    <w:rsid w:val="00A67297"/>
    <w:rsid w:val="00A707AE"/>
    <w:rsid w:val="00A72FBF"/>
    <w:rsid w:val="00A8106A"/>
    <w:rsid w:val="00A86C9B"/>
    <w:rsid w:val="00A874F8"/>
    <w:rsid w:val="00A93E87"/>
    <w:rsid w:val="00A9481E"/>
    <w:rsid w:val="00A95336"/>
    <w:rsid w:val="00A96FA2"/>
    <w:rsid w:val="00A9700E"/>
    <w:rsid w:val="00AA1487"/>
    <w:rsid w:val="00AA29C2"/>
    <w:rsid w:val="00AA35EC"/>
    <w:rsid w:val="00AA447B"/>
    <w:rsid w:val="00AA7F69"/>
    <w:rsid w:val="00AB23ED"/>
    <w:rsid w:val="00AB40F8"/>
    <w:rsid w:val="00AB42DB"/>
    <w:rsid w:val="00AB7177"/>
    <w:rsid w:val="00AC19C5"/>
    <w:rsid w:val="00AC2E91"/>
    <w:rsid w:val="00AC5462"/>
    <w:rsid w:val="00AD2500"/>
    <w:rsid w:val="00AD363A"/>
    <w:rsid w:val="00AD3AFC"/>
    <w:rsid w:val="00AD4E1B"/>
    <w:rsid w:val="00AD52FD"/>
    <w:rsid w:val="00AD64E3"/>
    <w:rsid w:val="00AE158B"/>
    <w:rsid w:val="00AE41D9"/>
    <w:rsid w:val="00AE516E"/>
    <w:rsid w:val="00AE52F4"/>
    <w:rsid w:val="00AE5D86"/>
    <w:rsid w:val="00AE74FA"/>
    <w:rsid w:val="00AF25D8"/>
    <w:rsid w:val="00AF3A45"/>
    <w:rsid w:val="00AF6297"/>
    <w:rsid w:val="00B00017"/>
    <w:rsid w:val="00B02998"/>
    <w:rsid w:val="00B036A8"/>
    <w:rsid w:val="00B03AA0"/>
    <w:rsid w:val="00B05E57"/>
    <w:rsid w:val="00B072BD"/>
    <w:rsid w:val="00B10B30"/>
    <w:rsid w:val="00B12817"/>
    <w:rsid w:val="00B12CA6"/>
    <w:rsid w:val="00B16E4B"/>
    <w:rsid w:val="00B204CA"/>
    <w:rsid w:val="00B20B55"/>
    <w:rsid w:val="00B24698"/>
    <w:rsid w:val="00B256CC"/>
    <w:rsid w:val="00B27269"/>
    <w:rsid w:val="00B3656F"/>
    <w:rsid w:val="00B40AB6"/>
    <w:rsid w:val="00B424C6"/>
    <w:rsid w:val="00B45EF6"/>
    <w:rsid w:val="00B4743E"/>
    <w:rsid w:val="00B479D9"/>
    <w:rsid w:val="00B51AC8"/>
    <w:rsid w:val="00B55D72"/>
    <w:rsid w:val="00B60573"/>
    <w:rsid w:val="00B613A6"/>
    <w:rsid w:val="00B61DAC"/>
    <w:rsid w:val="00B61F71"/>
    <w:rsid w:val="00B64605"/>
    <w:rsid w:val="00B707E6"/>
    <w:rsid w:val="00B7233C"/>
    <w:rsid w:val="00B74B34"/>
    <w:rsid w:val="00B77123"/>
    <w:rsid w:val="00B80B7C"/>
    <w:rsid w:val="00B80BF8"/>
    <w:rsid w:val="00B83E1E"/>
    <w:rsid w:val="00B85845"/>
    <w:rsid w:val="00B85C44"/>
    <w:rsid w:val="00B87F4E"/>
    <w:rsid w:val="00B900F3"/>
    <w:rsid w:val="00B9207C"/>
    <w:rsid w:val="00B92A45"/>
    <w:rsid w:val="00B94AA8"/>
    <w:rsid w:val="00BA247C"/>
    <w:rsid w:val="00BA2BFA"/>
    <w:rsid w:val="00BB0F27"/>
    <w:rsid w:val="00BB2208"/>
    <w:rsid w:val="00BB2244"/>
    <w:rsid w:val="00BB5BB0"/>
    <w:rsid w:val="00BB7DB5"/>
    <w:rsid w:val="00BC14BC"/>
    <w:rsid w:val="00BC171F"/>
    <w:rsid w:val="00BC1C45"/>
    <w:rsid w:val="00BC2CFA"/>
    <w:rsid w:val="00BC4C01"/>
    <w:rsid w:val="00BC4C7E"/>
    <w:rsid w:val="00BC5AB4"/>
    <w:rsid w:val="00BC7467"/>
    <w:rsid w:val="00BD1E31"/>
    <w:rsid w:val="00BD3D2E"/>
    <w:rsid w:val="00BD48ED"/>
    <w:rsid w:val="00BD4BAE"/>
    <w:rsid w:val="00BD4E65"/>
    <w:rsid w:val="00BD5BEC"/>
    <w:rsid w:val="00BD6EE4"/>
    <w:rsid w:val="00BD739D"/>
    <w:rsid w:val="00BE0489"/>
    <w:rsid w:val="00BE093F"/>
    <w:rsid w:val="00BE37B1"/>
    <w:rsid w:val="00BE692E"/>
    <w:rsid w:val="00BF1D92"/>
    <w:rsid w:val="00C01ACD"/>
    <w:rsid w:val="00C022F9"/>
    <w:rsid w:val="00C029E0"/>
    <w:rsid w:val="00C0499D"/>
    <w:rsid w:val="00C050E1"/>
    <w:rsid w:val="00C073DC"/>
    <w:rsid w:val="00C126A4"/>
    <w:rsid w:val="00C128D4"/>
    <w:rsid w:val="00C15A28"/>
    <w:rsid w:val="00C179D5"/>
    <w:rsid w:val="00C2233C"/>
    <w:rsid w:val="00C23B9B"/>
    <w:rsid w:val="00C24EAE"/>
    <w:rsid w:val="00C272E3"/>
    <w:rsid w:val="00C346D3"/>
    <w:rsid w:val="00C36A03"/>
    <w:rsid w:val="00C36E2F"/>
    <w:rsid w:val="00C43916"/>
    <w:rsid w:val="00C46270"/>
    <w:rsid w:val="00C515AD"/>
    <w:rsid w:val="00C52EC9"/>
    <w:rsid w:val="00C55769"/>
    <w:rsid w:val="00C56EFA"/>
    <w:rsid w:val="00C5741B"/>
    <w:rsid w:val="00C6167A"/>
    <w:rsid w:val="00C63776"/>
    <w:rsid w:val="00C6391D"/>
    <w:rsid w:val="00C654A2"/>
    <w:rsid w:val="00C67099"/>
    <w:rsid w:val="00C67139"/>
    <w:rsid w:val="00C67E7C"/>
    <w:rsid w:val="00C70F99"/>
    <w:rsid w:val="00C71C39"/>
    <w:rsid w:val="00C75E6C"/>
    <w:rsid w:val="00C77AC8"/>
    <w:rsid w:val="00C91764"/>
    <w:rsid w:val="00C93C4B"/>
    <w:rsid w:val="00C9496D"/>
    <w:rsid w:val="00C94FB9"/>
    <w:rsid w:val="00C96C7C"/>
    <w:rsid w:val="00CA06EA"/>
    <w:rsid w:val="00CA114E"/>
    <w:rsid w:val="00CA1925"/>
    <w:rsid w:val="00CA799F"/>
    <w:rsid w:val="00CB0CD7"/>
    <w:rsid w:val="00CB1E3D"/>
    <w:rsid w:val="00CB332E"/>
    <w:rsid w:val="00CB3A7F"/>
    <w:rsid w:val="00CB5F61"/>
    <w:rsid w:val="00CC0A50"/>
    <w:rsid w:val="00CC1370"/>
    <w:rsid w:val="00CC3437"/>
    <w:rsid w:val="00CC4A65"/>
    <w:rsid w:val="00CC5D32"/>
    <w:rsid w:val="00CD2AB4"/>
    <w:rsid w:val="00CD2AEB"/>
    <w:rsid w:val="00CD3687"/>
    <w:rsid w:val="00CD4C97"/>
    <w:rsid w:val="00CE1FCB"/>
    <w:rsid w:val="00CE478D"/>
    <w:rsid w:val="00CE6525"/>
    <w:rsid w:val="00CE75A8"/>
    <w:rsid w:val="00CF219B"/>
    <w:rsid w:val="00CF2595"/>
    <w:rsid w:val="00CF7771"/>
    <w:rsid w:val="00D01673"/>
    <w:rsid w:val="00D1010C"/>
    <w:rsid w:val="00D134AA"/>
    <w:rsid w:val="00D14F9A"/>
    <w:rsid w:val="00D20140"/>
    <w:rsid w:val="00D22603"/>
    <w:rsid w:val="00D2374B"/>
    <w:rsid w:val="00D25C31"/>
    <w:rsid w:val="00D274F3"/>
    <w:rsid w:val="00D278CE"/>
    <w:rsid w:val="00D31C5A"/>
    <w:rsid w:val="00D335D3"/>
    <w:rsid w:val="00D336DE"/>
    <w:rsid w:val="00D33ED1"/>
    <w:rsid w:val="00D405F8"/>
    <w:rsid w:val="00D45EE7"/>
    <w:rsid w:val="00D500D9"/>
    <w:rsid w:val="00D5027A"/>
    <w:rsid w:val="00D509B9"/>
    <w:rsid w:val="00D51634"/>
    <w:rsid w:val="00D525FE"/>
    <w:rsid w:val="00D54701"/>
    <w:rsid w:val="00D57E38"/>
    <w:rsid w:val="00D62CFF"/>
    <w:rsid w:val="00D64E34"/>
    <w:rsid w:val="00D6685D"/>
    <w:rsid w:val="00D7604C"/>
    <w:rsid w:val="00D80EE8"/>
    <w:rsid w:val="00D82840"/>
    <w:rsid w:val="00D84825"/>
    <w:rsid w:val="00D84FD1"/>
    <w:rsid w:val="00D96609"/>
    <w:rsid w:val="00DA10B6"/>
    <w:rsid w:val="00DA1B74"/>
    <w:rsid w:val="00DA22C9"/>
    <w:rsid w:val="00DA3AEF"/>
    <w:rsid w:val="00DA49E1"/>
    <w:rsid w:val="00DA61B8"/>
    <w:rsid w:val="00DB0DFF"/>
    <w:rsid w:val="00DB32A1"/>
    <w:rsid w:val="00DB7761"/>
    <w:rsid w:val="00DC70DB"/>
    <w:rsid w:val="00DC7F93"/>
    <w:rsid w:val="00DD1438"/>
    <w:rsid w:val="00DD2741"/>
    <w:rsid w:val="00DD3675"/>
    <w:rsid w:val="00DD59CC"/>
    <w:rsid w:val="00DE0059"/>
    <w:rsid w:val="00DE03C0"/>
    <w:rsid w:val="00DE0A59"/>
    <w:rsid w:val="00DE132C"/>
    <w:rsid w:val="00DE29DA"/>
    <w:rsid w:val="00DE3E25"/>
    <w:rsid w:val="00DF1BE7"/>
    <w:rsid w:val="00DF33C7"/>
    <w:rsid w:val="00DF4158"/>
    <w:rsid w:val="00E00BFE"/>
    <w:rsid w:val="00E01396"/>
    <w:rsid w:val="00E04C4B"/>
    <w:rsid w:val="00E061E8"/>
    <w:rsid w:val="00E07E79"/>
    <w:rsid w:val="00E108CF"/>
    <w:rsid w:val="00E137CE"/>
    <w:rsid w:val="00E14FBA"/>
    <w:rsid w:val="00E222AA"/>
    <w:rsid w:val="00E27ADC"/>
    <w:rsid w:val="00E32AB8"/>
    <w:rsid w:val="00E35CB0"/>
    <w:rsid w:val="00E40756"/>
    <w:rsid w:val="00E41E66"/>
    <w:rsid w:val="00E4245E"/>
    <w:rsid w:val="00E44C98"/>
    <w:rsid w:val="00E46EBA"/>
    <w:rsid w:val="00E470AE"/>
    <w:rsid w:val="00E4749B"/>
    <w:rsid w:val="00E4750A"/>
    <w:rsid w:val="00E5382B"/>
    <w:rsid w:val="00E54F7B"/>
    <w:rsid w:val="00E56896"/>
    <w:rsid w:val="00E579D8"/>
    <w:rsid w:val="00E604EF"/>
    <w:rsid w:val="00E61465"/>
    <w:rsid w:val="00E617D7"/>
    <w:rsid w:val="00E62E2E"/>
    <w:rsid w:val="00E67977"/>
    <w:rsid w:val="00E720A4"/>
    <w:rsid w:val="00E73818"/>
    <w:rsid w:val="00E775D7"/>
    <w:rsid w:val="00E776AD"/>
    <w:rsid w:val="00E779AB"/>
    <w:rsid w:val="00E800A9"/>
    <w:rsid w:val="00E82808"/>
    <w:rsid w:val="00E84679"/>
    <w:rsid w:val="00E911D4"/>
    <w:rsid w:val="00E91424"/>
    <w:rsid w:val="00E918FC"/>
    <w:rsid w:val="00E93E8F"/>
    <w:rsid w:val="00E94B61"/>
    <w:rsid w:val="00E9675B"/>
    <w:rsid w:val="00E96C1E"/>
    <w:rsid w:val="00EA6845"/>
    <w:rsid w:val="00EB22A4"/>
    <w:rsid w:val="00EB32A5"/>
    <w:rsid w:val="00EB3C91"/>
    <w:rsid w:val="00EB5493"/>
    <w:rsid w:val="00EB6DC9"/>
    <w:rsid w:val="00EB7662"/>
    <w:rsid w:val="00EC0286"/>
    <w:rsid w:val="00EC08C8"/>
    <w:rsid w:val="00EC28D4"/>
    <w:rsid w:val="00EC2F28"/>
    <w:rsid w:val="00EC359F"/>
    <w:rsid w:val="00EC37E3"/>
    <w:rsid w:val="00EC6192"/>
    <w:rsid w:val="00ED26FD"/>
    <w:rsid w:val="00ED3CD6"/>
    <w:rsid w:val="00ED639A"/>
    <w:rsid w:val="00ED6BE2"/>
    <w:rsid w:val="00ED6E6D"/>
    <w:rsid w:val="00EE24E4"/>
    <w:rsid w:val="00EE68DB"/>
    <w:rsid w:val="00EF01E0"/>
    <w:rsid w:val="00EF2B97"/>
    <w:rsid w:val="00EF4D19"/>
    <w:rsid w:val="00EF6FB7"/>
    <w:rsid w:val="00F021D9"/>
    <w:rsid w:val="00F02722"/>
    <w:rsid w:val="00F03460"/>
    <w:rsid w:val="00F046D5"/>
    <w:rsid w:val="00F06A11"/>
    <w:rsid w:val="00F06B62"/>
    <w:rsid w:val="00F074E0"/>
    <w:rsid w:val="00F11048"/>
    <w:rsid w:val="00F1269C"/>
    <w:rsid w:val="00F156B4"/>
    <w:rsid w:val="00F165A6"/>
    <w:rsid w:val="00F22DB6"/>
    <w:rsid w:val="00F24AF7"/>
    <w:rsid w:val="00F26722"/>
    <w:rsid w:val="00F27BAF"/>
    <w:rsid w:val="00F32CBA"/>
    <w:rsid w:val="00F33603"/>
    <w:rsid w:val="00F33677"/>
    <w:rsid w:val="00F353B1"/>
    <w:rsid w:val="00F37A72"/>
    <w:rsid w:val="00F37CCB"/>
    <w:rsid w:val="00F41BC7"/>
    <w:rsid w:val="00F41C9D"/>
    <w:rsid w:val="00F43DF8"/>
    <w:rsid w:val="00F45F56"/>
    <w:rsid w:val="00F47081"/>
    <w:rsid w:val="00F4753F"/>
    <w:rsid w:val="00F501F2"/>
    <w:rsid w:val="00F5072A"/>
    <w:rsid w:val="00F527BC"/>
    <w:rsid w:val="00F52C19"/>
    <w:rsid w:val="00F537B3"/>
    <w:rsid w:val="00F5694A"/>
    <w:rsid w:val="00F60E39"/>
    <w:rsid w:val="00F61289"/>
    <w:rsid w:val="00F61934"/>
    <w:rsid w:val="00F621F2"/>
    <w:rsid w:val="00F637A8"/>
    <w:rsid w:val="00F64B59"/>
    <w:rsid w:val="00F64CF1"/>
    <w:rsid w:val="00F700D9"/>
    <w:rsid w:val="00F70A85"/>
    <w:rsid w:val="00F7466E"/>
    <w:rsid w:val="00F74E1C"/>
    <w:rsid w:val="00F76812"/>
    <w:rsid w:val="00F770B8"/>
    <w:rsid w:val="00F82AD1"/>
    <w:rsid w:val="00F8473A"/>
    <w:rsid w:val="00F90DA7"/>
    <w:rsid w:val="00F932A0"/>
    <w:rsid w:val="00F93B94"/>
    <w:rsid w:val="00F959CC"/>
    <w:rsid w:val="00F95AE6"/>
    <w:rsid w:val="00FA0D81"/>
    <w:rsid w:val="00FA163A"/>
    <w:rsid w:val="00FA6018"/>
    <w:rsid w:val="00FB0B81"/>
    <w:rsid w:val="00FB0BBF"/>
    <w:rsid w:val="00FB2895"/>
    <w:rsid w:val="00FB2B08"/>
    <w:rsid w:val="00FB49EB"/>
    <w:rsid w:val="00FC0376"/>
    <w:rsid w:val="00FC1242"/>
    <w:rsid w:val="00FC2156"/>
    <w:rsid w:val="00FC3A90"/>
    <w:rsid w:val="00FC4743"/>
    <w:rsid w:val="00FC4D97"/>
    <w:rsid w:val="00FC6204"/>
    <w:rsid w:val="00FD31C0"/>
    <w:rsid w:val="00FD48AA"/>
    <w:rsid w:val="00FD5E70"/>
    <w:rsid w:val="00FD72D4"/>
    <w:rsid w:val="00FD7B29"/>
    <w:rsid w:val="00FE1554"/>
    <w:rsid w:val="00FE45D0"/>
    <w:rsid w:val="00FF0EF5"/>
    <w:rsid w:val="00FF3634"/>
    <w:rsid w:val="00FF6550"/>
    <w:rsid w:val="00FF6A45"/>
    <w:rsid w:val="015B40B6"/>
    <w:rsid w:val="017F6037"/>
    <w:rsid w:val="01A06E9D"/>
    <w:rsid w:val="01CA6A19"/>
    <w:rsid w:val="021F0AFB"/>
    <w:rsid w:val="02EA5467"/>
    <w:rsid w:val="031C5FFE"/>
    <w:rsid w:val="0328328B"/>
    <w:rsid w:val="03493AC8"/>
    <w:rsid w:val="039E526B"/>
    <w:rsid w:val="03B73936"/>
    <w:rsid w:val="03BD0D8C"/>
    <w:rsid w:val="043206E5"/>
    <w:rsid w:val="049A7F99"/>
    <w:rsid w:val="04A67780"/>
    <w:rsid w:val="05302772"/>
    <w:rsid w:val="057A6D22"/>
    <w:rsid w:val="058B1782"/>
    <w:rsid w:val="05A6180E"/>
    <w:rsid w:val="05CF4D2D"/>
    <w:rsid w:val="065024BF"/>
    <w:rsid w:val="069B7255"/>
    <w:rsid w:val="07461756"/>
    <w:rsid w:val="07661898"/>
    <w:rsid w:val="0789742F"/>
    <w:rsid w:val="07CF5339"/>
    <w:rsid w:val="07E65967"/>
    <w:rsid w:val="080C3EBC"/>
    <w:rsid w:val="081D1655"/>
    <w:rsid w:val="08722A65"/>
    <w:rsid w:val="0880590F"/>
    <w:rsid w:val="08825C2C"/>
    <w:rsid w:val="08A22830"/>
    <w:rsid w:val="0A43577A"/>
    <w:rsid w:val="0A6311B8"/>
    <w:rsid w:val="0A796A2A"/>
    <w:rsid w:val="0A8F5A8C"/>
    <w:rsid w:val="0A96708F"/>
    <w:rsid w:val="0AA112BF"/>
    <w:rsid w:val="0AA34654"/>
    <w:rsid w:val="0AD4256B"/>
    <w:rsid w:val="0B6A3053"/>
    <w:rsid w:val="0BC10735"/>
    <w:rsid w:val="0BCA0A86"/>
    <w:rsid w:val="0BD24CD7"/>
    <w:rsid w:val="0C1602D2"/>
    <w:rsid w:val="0C602E1E"/>
    <w:rsid w:val="0CC26606"/>
    <w:rsid w:val="0D02533F"/>
    <w:rsid w:val="0DB24C7C"/>
    <w:rsid w:val="0DE55384"/>
    <w:rsid w:val="0DEA2F67"/>
    <w:rsid w:val="0E091E80"/>
    <w:rsid w:val="0E166D20"/>
    <w:rsid w:val="0E527771"/>
    <w:rsid w:val="0E8337B8"/>
    <w:rsid w:val="0F1E0DE9"/>
    <w:rsid w:val="0F332EF6"/>
    <w:rsid w:val="0F3448E2"/>
    <w:rsid w:val="0F4074CE"/>
    <w:rsid w:val="0F487D15"/>
    <w:rsid w:val="0F7E2F61"/>
    <w:rsid w:val="0FB706F7"/>
    <w:rsid w:val="103F0A4A"/>
    <w:rsid w:val="10E87054"/>
    <w:rsid w:val="10EB3949"/>
    <w:rsid w:val="119D51A7"/>
    <w:rsid w:val="11B839A2"/>
    <w:rsid w:val="11B86BB3"/>
    <w:rsid w:val="11EA6812"/>
    <w:rsid w:val="122A61E7"/>
    <w:rsid w:val="12891D1D"/>
    <w:rsid w:val="12BA586B"/>
    <w:rsid w:val="12D17479"/>
    <w:rsid w:val="13083E3E"/>
    <w:rsid w:val="131357EC"/>
    <w:rsid w:val="134B5AB7"/>
    <w:rsid w:val="135E21BE"/>
    <w:rsid w:val="136759F7"/>
    <w:rsid w:val="13705613"/>
    <w:rsid w:val="13735D30"/>
    <w:rsid w:val="137D703E"/>
    <w:rsid w:val="13A740BB"/>
    <w:rsid w:val="13BD38DE"/>
    <w:rsid w:val="144C211D"/>
    <w:rsid w:val="1463325E"/>
    <w:rsid w:val="1469390B"/>
    <w:rsid w:val="147C73D7"/>
    <w:rsid w:val="14AE3F53"/>
    <w:rsid w:val="14FF6DF1"/>
    <w:rsid w:val="152F0DBE"/>
    <w:rsid w:val="15376A31"/>
    <w:rsid w:val="155B3EA2"/>
    <w:rsid w:val="157F68D1"/>
    <w:rsid w:val="159E0418"/>
    <w:rsid w:val="15EB6A49"/>
    <w:rsid w:val="160F0685"/>
    <w:rsid w:val="162E0B4D"/>
    <w:rsid w:val="168E5FB8"/>
    <w:rsid w:val="16C12BA4"/>
    <w:rsid w:val="16DF7298"/>
    <w:rsid w:val="173B1664"/>
    <w:rsid w:val="178972A5"/>
    <w:rsid w:val="178F7340"/>
    <w:rsid w:val="1791420D"/>
    <w:rsid w:val="17BB7A80"/>
    <w:rsid w:val="17E92F9A"/>
    <w:rsid w:val="18C70136"/>
    <w:rsid w:val="1918077D"/>
    <w:rsid w:val="196D36B1"/>
    <w:rsid w:val="19BD47A3"/>
    <w:rsid w:val="19D159ED"/>
    <w:rsid w:val="19E0523A"/>
    <w:rsid w:val="1A4316A3"/>
    <w:rsid w:val="1A5E6ACC"/>
    <w:rsid w:val="1AA515EF"/>
    <w:rsid w:val="1B322765"/>
    <w:rsid w:val="1B474F96"/>
    <w:rsid w:val="1B4A2099"/>
    <w:rsid w:val="1BDA1FFF"/>
    <w:rsid w:val="1C4E1918"/>
    <w:rsid w:val="1C890966"/>
    <w:rsid w:val="1D5725B4"/>
    <w:rsid w:val="1D632696"/>
    <w:rsid w:val="1DA42AD7"/>
    <w:rsid w:val="1DB8370F"/>
    <w:rsid w:val="1DEE2345"/>
    <w:rsid w:val="1E2A43FE"/>
    <w:rsid w:val="1E3017DF"/>
    <w:rsid w:val="1EAC3278"/>
    <w:rsid w:val="1F102098"/>
    <w:rsid w:val="1F11430C"/>
    <w:rsid w:val="1F5E41B1"/>
    <w:rsid w:val="1F760BB0"/>
    <w:rsid w:val="1F7A2C69"/>
    <w:rsid w:val="1F845FFC"/>
    <w:rsid w:val="1FDC2E32"/>
    <w:rsid w:val="1FFF93C6"/>
    <w:rsid w:val="20044E55"/>
    <w:rsid w:val="20227C2C"/>
    <w:rsid w:val="20A74056"/>
    <w:rsid w:val="20C6621C"/>
    <w:rsid w:val="21076199"/>
    <w:rsid w:val="21610E8A"/>
    <w:rsid w:val="21A711FA"/>
    <w:rsid w:val="21B743AF"/>
    <w:rsid w:val="21E60F7B"/>
    <w:rsid w:val="21E8019B"/>
    <w:rsid w:val="21F87A1F"/>
    <w:rsid w:val="22037393"/>
    <w:rsid w:val="223B7A94"/>
    <w:rsid w:val="223F4085"/>
    <w:rsid w:val="22603DB2"/>
    <w:rsid w:val="22CA7E84"/>
    <w:rsid w:val="22CE7098"/>
    <w:rsid w:val="232D6A7E"/>
    <w:rsid w:val="2372578F"/>
    <w:rsid w:val="240C33A1"/>
    <w:rsid w:val="2413090B"/>
    <w:rsid w:val="243429B7"/>
    <w:rsid w:val="246B3606"/>
    <w:rsid w:val="246B69B1"/>
    <w:rsid w:val="24A011D5"/>
    <w:rsid w:val="24F045A5"/>
    <w:rsid w:val="251F40F9"/>
    <w:rsid w:val="25C0543D"/>
    <w:rsid w:val="25DD3077"/>
    <w:rsid w:val="25FD7A3B"/>
    <w:rsid w:val="261A4E3E"/>
    <w:rsid w:val="264563BC"/>
    <w:rsid w:val="264E661E"/>
    <w:rsid w:val="2670658E"/>
    <w:rsid w:val="26A11503"/>
    <w:rsid w:val="26E717DA"/>
    <w:rsid w:val="275067F9"/>
    <w:rsid w:val="275C189F"/>
    <w:rsid w:val="279557F7"/>
    <w:rsid w:val="27A819B6"/>
    <w:rsid w:val="27C76F01"/>
    <w:rsid w:val="28312FED"/>
    <w:rsid w:val="28575C58"/>
    <w:rsid w:val="286D3507"/>
    <w:rsid w:val="28AB5633"/>
    <w:rsid w:val="29894E2E"/>
    <w:rsid w:val="29BB5648"/>
    <w:rsid w:val="2AB52972"/>
    <w:rsid w:val="2AE857D1"/>
    <w:rsid w:val="2BD15142"/>
    <w:rsid w:val="2C636D00"/>
    <w:rsid w:val="2C6D0FD2"/>
    <w:rsid w:val="2C735C97"/>
    <w:rsid w:val="2CD03A3F"/>
    <w:rsid w:val="2D0B6A5D"/>
    <w:rsid w:val="2D5664DE"/>
    <w:rsid w:val="2D637B50"/>
    <w:rsid w:val="2DF03B66"/>
    <w:rsid w:val="2E247286"/>
    <w:rsid w:val="2E25536D"/>
    <w:rsid w:val="2E9336EA"/>
    <w:rsid w:val="2EAA7E90"/>
    <w:rsid w:val="2F140B85"/>
    <w:rsid w:val="2F22796B"/>
    <w:rsid w:val="2F236894"/>
    <w:rsid w:val="2F8D6311"/>
    <w:rsid w:val="301E61D7"/>
    <w:rsid w:val="302A7F4A"/>
    <w:rsid w:val="302F5F6B"/>
    <w:rsid w:val="307D29F9"/>
    <w:rsid w:val="30B64FEA"/>
    <w:rsid w:val="30C5614D"/>
    <w:rsid w:val="30CC4B53"/>
    <w:rsid w:val="30E71098"/>
    <w:rsid w:val="30F77CA2"/>
    <w:rsid w:val="31153038"/>
    <w:rsid w:val="31463B9E"/>
    <w:rsid w:val="316C602C"/>
    <w:rsid w:val="31786ED5"/>
    <w:rsid w:val="3187656B"/>
    <w:rsid w:val="319468B2"/>
    <w:rsid w:val="319A55F7"/>
    <w:rsid w:val="319C6D99"/>
    <w:rsid w:val="32584128"/>
    <w:rsid w:val="328A4FFE"/>
    <w:rsid w:val="33286023"/>
    <w:rsid w:val="333640E9"/>
    <w:rsid w:val="3343068F"/>
    <w:rsid w:val="336A5068"/>
    <w:rsid w:val="34CB53CF"/>
    <w:rsid w:val="351618B7"/>
    <w:rsid w:val="352C37F4"/>
    <w:rsid w:val="35C506A4"/>
    <w:rsid w:val="35E14D3D"/>
    <w:rsid w:val="36171E4E"/>
    <w:rsid w:val="36764132"/>
    <w:rsid w:val="369E0EF6"/>
    <w:rsid w:val="36AC413E"/>
    <w:rsid w:val="36E62AF1"/>
    <w:rsid w:val="36E92139"/>
    <w:rsid w:val="36F07BD2"/>
    <w:rsid w:val="37F13211"/>
    <w:rsid w:val="38410DE3"/>
    <w:rsid w:val="38490EF2"/>
    <w:rsid w:val="386046B4"/>
    <w:rsid w:val="38934DE9"/>
    <w:rsid w:val="38B94930"/>
    <w:rsid w:val="38D21B7A"/>
    <w:rsid w:val="39272DF0"/>
    <w:rsid w:val="39990695"/>
    <w:rsid w:val="39D9538B"/>
    <w:rsid w:val="39FC0C91"/>
    <w:rsid w:val="3A0C63D6"/>
    <w:rsid w:val="3A23372B"/>
    <w:rsid w:val="3A473DF3"/>
    <w:rsid w:val="3A8C65CB"/>
    <w:rsid w:val="3B2F6826"/>
    <w:rsid w:val="3B7350B9"/>
    <w:rsid w:val="3B846F1A"/>
    <w:rsid w:val="3BCE6649"/>
    <w:rsid w:val="3BF0488E"/>
    <w:rsid w:val="3C6F759C"/>
    <w:rsid w:val="3D846B1F"/>
    <w:rsid w:val="3EB94B1E"/>
    <w:rsid w:val="3EB96B5E"/>
    <w:rsid w:val="3EBD6FC7"/>
    <w:rsid w:val="3EC62D97"/>
    <w:rsid w:val="3EE871B2"/>
    <w:rsid w:val="3FC32DA2"/>
    <w:rsid w:val="3FFB42F3"/>
    <w:rsid w:val="403B3A96"/>
    <w:rsid w:val="40F71568"/>
    <w:rsid w:val="41207F75"/>
    <w:rsid w:val="41580FD3"/>
    <w:rsid w:val="41984C0B"/>
    <w:rsid w:val="41D207AD"/>
    <w:rsid w:val="42336E89"/>
    <w:rsid w:val="423544BC"/>
    <w:rsid w:val="42786711"/>
    <w:rsid w:val="42B152D3"/>
    <w:rsid w:val="42C53550"/>
    <w:rsid w:val="42C87CFB"/>
    <w:rsid w:val="42D0722D"/>
    <w:rsid w:val="441B2AC5"/>
    <w:rsid w:val="44A047EB"/>
    <w:rsid w:val="44A21769"/>
    <w:rsid w:val="44CB7C0A"/>
    <w:rsid w:val="44E317FA"/>
    <w:rsid w:val="45063AC1"/>
    <w:rsid w:val="450E5533"/>
    <w:rsid w:val="455235D7"/>
    <w:rsid w:val="455E5204"/>
    <w:rsid w:val="45AD2E13"/>
    <w:rsid w:val="45C11BBE"/>
    <w:rsid w:val="45E5581D"/>
    <w:rsid w:val="46120F52"/>
    <w:rsid w:val="461E6B04"/>
    <w:rsid w:val="462B36DD"/>
    <w:rsid w:val="46344488"/>
    <w:rsid w:val="466C06C8"/>
    <w:rsid w:val="46BF4C9C"/>
    <w:rsid w:val="46E37985"/>
    <w:rsid w:val="47565059"/>
    <w:rsid w:val="475B6938"/>
    <w:rsid w:val="476B57CA"/>
    <w:rsid w:val="47775577"/>
    <w:rsid w:val="47F54380"/>
    <w:rsid w:val="482E032B"/>
    <w:rsid w:val="487B24A7"/>
    <w:rsid w:val="48CE7418"/>
    <w:rsid w:val="48E10261"/>
    <w:rsid w:val="49467E3C"/>
    <w:rsid w:val="495B1ED6"/>
    <w:rsid w:val="4977446D"/>
    <w:rsid w:val="49B07D04"/>
    <w:rsid w:val="49CC09BD"/>
    <w:rsid w:val="49D21641"/>
    <w:rsid w:val="49ED1025"/>
    <w:rsid w:val="4A1639A1"/>
    <w:rsid w:val="4A2A2D74"/>
    <w:rsid w:val="4A6B2270"/>
    <w:rsid w:val="4AB63776"/>
    <w:rsid w:val="4AC767E2"/>
    <w:rsid w:val="4ACC6713"/>
    <w:rsid w:val="4AD83114"/>
    <w:rsid w:val="4B1D1043"/>
    <w:rsid w:val="4B4D6D1A"/>
    <w:rsid w:val="4B8C414A"/>
    <w:rsid w:val="4C1E4723"/>
    <w:rsid w:val="4CAD56BD"/>
    <w:rsid w:val="4CC66733"/>
    <w:rsid w:val="4D001B6A"/>
    <w:rsid w:val="4D0E6A50"/>
    <w:rsid w:val="4D461514"/>
    <w:rsid w:val="4D910972"/>
    <w:rsid w:val="4D9D385D"/>
    <w:rsid w:val="4DFC4569"/>
    <w:rsid w:val="4E264818"/>
    <w:rsid w:val="4E323FA5"/>
    <w:rsid w:val="4E4F2290"/>
    <w:rsid w:val="4E4F56FA"/>
    <w:rsid w:val="4E922744"/>
    <w:rsid w:val="4F4804E1"/>
    <w:rsid w:val="4F4C6922"/>
    <w:rsid w:val="4FFB14F8"/>
    <w:rsid w:val="4FFC0D0F"/>
    <w:rsid w:val="500C5503"/>
    <w:rsid w:val="50471374"/>
    <w:rsid w:val="50C071CC"/>
    <w:rsid w:val="50D51513"/>
    <w:rsid w:val="516B36EC"/>
    <w:rsid w:val="51E17C8F"/>
    <w:rsid w:val="51FE2946"/>
    <w:rsid w:val="52131CEE"/>
    <w:rsid w:val="528F6DB6"/>
    <w:rsid w:val="52A04F97"/>
    <w:rsid w:val="531F3FF8"/>
    <w:rsid w:val="53276925"/>
    <w:rsid w:val="53367877"/>
    <w:rsid w:val="53702CB7"/>
    <w:rsid w:val="53AE00B0"/>
    <w:rsid w:val="53BD797A"/>
    <w:rsid w:val="53E833F0"/>
    <w:rsid w:val="54930E84"/>
    <w:rsid w:val="549F6CE2"/>
    <w:rsid w:val="556233C2"/>
    <w:rsid w:val="558A465D"/>
    <w:rsid w:val="55CE24F7"/>
    <w:rsid w:val="55E357A3"/>
    <w:rsid w:val="560414B4"/>
    <w:rsid w:val="56A96DCF"/>
    <w:rsid w:val="571F22C3"/>
    <w:rsid w:val="573828A1"/>
    <w:rsid w:val="57606201"/>
    <w:rsid w:val="576E2576"/>
    <w:rsid w:val="57B27F05"/>
    <w:rsid w:val="585A249A"/>
    <w:rsid w:val="58C83E84"/>
    <w:rsid w:val="59335D8D"/>
    <w:rsid w:val="59C64038"/>
    <w:rsid w:val="59F009C0"/>
    <w:rsid w:val="5A763433"/>
    <w:rsid w:val="5ABD109B"/>
    <w:rsid w:val="5B513056"/>
    <w:rsid w:val="5BE8093E"/>
    <w:rsid w:val="5C3B3BFE"/>
    <w:rsid w:val="5C7C6FCE"/>
    <w:rsid w:val="5CFB24F3"/>
    <w:rsid w:val="5D0E5880"/>
    <w:rsid w:val="5D195761"/>
    <w:rsid w:val="5D444B3F"/>
    <w:rsid w:val="5D6F4961"/>
    <w:rsid w:val="5DA76BFD"/>
    <w:rsid w:val="5EA225BC"/>
    <w:rsid w:val="5EB003F0"/>
    <w:rsid w:val="5EB82366"/>
    <w:rsid w:val="5ED87808"/>
    <w:rsid w:val="5F2170EF"/>
    <w:rsid w:val="602A5A0B"/>
    <w:rsid w:val="604F3A67"/>
    <w:rsid w:val="60C72177"/>
    <w:rsid w:val="61077978"/>
    <w:rsid w:val="610A2411"/>
    <w:rsid w:val="6162474A"/>
    <w:rsid w:val="617A67FC"/>
    <w:rsid w:val="61CF4BF9"/>
    <w:rsid w:val="61E873EA"/>
    <w:rsid w:val="6248588A"/>
    <w:rsid w:val="62487DE4"/>
    <w:rsid w:val="6291178B"/>
    <w:rsid w:val="62F04F50"/>
    <w:rsid w:val="63463A84"/>
    <w:rsid w:val="63636F83"/>
    <w:rsid w:val="63715118"/>
    <w:rsid w:val="637D1F2E"/>
    <w:rsid w:val="63B30584"/>
    <w:rsid w:val="64002764"/>
    <w:rsid w:val="6421295B"/>
    <w:rsid w:val="6424334E"/>
    <w:rsid w:val="647D1326"/>
    <w:rsid w:val="648426C8"/>
    <w:rsid w:val="64AA7464"/>
    <w:rsid w:val="64E20EC1"/>
    <w:rsid w:val="64E22728"/>
    <w:rsid w:val="65082E49"/>
    <w:rsid w:val="65B37C6A"/>
    <w:rsid w:val="65F73150"/>
    <w:rsid w:val="660B5B1E"/>
    <w:rsid w:val="663C7C5F"/>
    <w:rsid w:val="665925BF"/>
    <w:rsid w:val="66A779B8"/>
    <w:rsid w:val="673C3302"/>
    <w:rsid w:val="67405061"/>
    <w:rsid w:val="67631874"/>
    <w:rsid w:val="677F13D3"/>
    <w:rsid w:val="678E46E8"/>
    <w:rsid w:val="67A7401C"/>
    <w:rsid w:val="67BE7913"/>
    <w:rsid w:val="67CE5B89"/>
    <w:rsid w:val="68212C69"/>
    <w:rsid w:val="68D45741"/>
    <w:rsid w:val="68F21205"/>
    <w:rsid w:val="69E732D8"/>
    <w:rsid w:val="69ED0B9D"/>
    <w:rsid w:val="6A883473"/>
    <w:rsid w:val="6AB07B21"/>
    <w:rsid w:val="6AE339D3"/>
    <w:rsid w:val="6AE57AC0"/>
    <w:rsid w:val="6AF530C4"/>
    <w:rsid w:val="6B473F8B"/>
    <w:rsid w:val="6B671933"/>
    <w:rsid w:val="6B7263FD"/>
    <w:rsid w:val="6BD975A9"/>
    <w:rsid w:val="6BE077E7"/>
    <w:rsid w:val="6BF13192"/>
    <w:rsid w:val="6C321A83"/>
    <w:rsid w:val="6C3D3F7C"/>
    <w:rsid w:val="6CC22541"/>
    <w:rsid w:val="6EB202FB"/>
    <w:rsid w:val="6EB320EE"/>
    <w:rsid w:val="6F347186"/>
    <w:rsid w:val="6FA63600"/>
    <w:rsid w:val="701A56B9"/>
    <w:rsid w:val="701D6E4F"/>
    <w:rsid w:val="702F29DB"/>
    <w:rsid w:val="705D64FD"/>
    <w:rsid w:val="70654A1F"/>
    <w:rsid w:val="70C943AC"/>
    <w:rsid w:val="70E6246D"/>
    <w:rsid w:val="7117449C"/>
    <w:rsid w:val="716E488C"/>
    <w:rsid w:val="716F271A"/>
    <w:rsid w:val="71F02DEA"/>
    <w:rsid w:val="725011AF"/>
    <w:rsid w:val="72976AB4"/>
    <w:rsid w:val="72A716DB"/>
    <w:rsid w:val="72B74E6C"/>
    <w:rsid w:val="72DD0EA7"/>
    <w:rsid w:val="73591550"/>
    <w:rsid w:val="73DD70C9"/>
    <w:rsid w:val="74511F8A"/>
    <w:rsid w:val="747B2A90"/>
    <w:rsid w:val="754141A6"/>
    <w:rsid w:val="768465AD"/>
    <w:rsid w:val="76BE4305"/>
    <w:rsid w:val="76EA1012"/>
    <w:rsid w:val="76EB3708"/>
    <w:rsid w:val="7726413B"/>
    <w:rsid w:val="774C75D7"/>
    <w:rsid w:val="77502208"/>
    <w:rsid w:val="77AF1EAD"/>
    <w:rsid w:val="7857055A"/>
    <w:rsid w:val="785A452E"/>
    <w:rsid w:val="787F6158"/>
    <w:rsid w:val="78832867"/>
    <w:rsid w:val="78E05836"/>
    <w:rsid w:val="7903105F"/>
    <w:rsid w:val="791B5998"/>
    <w:rsid w:val="79265198"/>
    <w:rsid w:val="792651BE"/>
    <w:rsid w:val="793D18CD"/>
    <w:rsid w:val="794B5E27"/>
    <w:rsid w:val="79935710"/>
    <w:rsid w:val="79D73ACF"/>
    <w:rsid w:val="7A42405B"/>
    <w:rsid w:val="7A8B69E8"/>
    <w:rsid w:val="7AD97A6C"/>
    <w:rsid w:val="7B1E66ED"/>
    <w:rsid w:val="7B6A6451"/>
    <w:rsid w:val="7B9D1805"/>
    <w:rsid w:val="7BAE4B8D"/>
    <w:rsid w:val="7BB33762"/>
    <w:rsid w:val="7BB74E2C"/>
    <w:rsid w:val="7BFF07F5"/>
    <w:rsid w:val="7C1E74F7"/>
    <w:rsid w:val="7C833A9B"/>
    <w:rsid w:val="7CD96DB2"/>
    <w:rsid w:val="7CDE33C7"/>
    <w:rsid w:val="7D3B4375"/>
    <w:rsid w:val="7D5663B2"/>
    <w:rsid w:val="7D827E5B"/>
    <w:rsid w:val="7DA168CE"/>
    <w:rsid w:val="7E0A321E"/>
    <w:rsid w:val="7E4436FD"/>
    <w:rsid w:val="7EC73BB6"/>
    <w:rsid w:val="7EF7261C"/>
    <w:rsid w:val="7F27453A"/>
    <w:rsid w:val="7FD60385"/>
    <w:rsid w:val="FDBF2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34"/>
    <w:qFormat/>
    <w:uiPriority w:val="0"/>
    <w:pPr>
      <w:numPr>
        <w:ilvl w:val="0"/>
      </w:numPr>
      <w:outlineLvl w:val="0"/>
    </w:pPr>
    <w:rPr>
      <w:bCs/>
      <w:kern w:val="44"/>
      <w:sz w:val="32"/>
      <w:szCs w:val="44"/>
    </w:rPr>
  </w:style>
  <w:style w:type="paragraph" w:styleId="3">
    <w:name w:val="heading 2"/>
    <w:basedOn w:val="4"/>
    <w:next w:val="1"/>
    <w:link w:val="36"/>
    <w:unhideWhenUsed/>
    <w:qFormat/>
    <w:uiPriority w:val="0"/>
    <w:pPr>
      <w:numPr>
        <w:ilvl w:val="1"/>
      </w:numPr>
      <w:ind w:left="0"/>
      <w:outlineLvl w:val="1"/>
    </w:pPr>
    <w:rPr>
      <w:rFonts w:asciiTheme="majorHAnsi" w:hAnsiTheme="majorHAnsi" w:eastAsiaTheme="majorEastAsia" w:cstheme="majorBidi"/>
      <w:bCs w:val="0"/>
      <w:sz w:val="30"/>
    </w:rPr>
  </w:style>
  <w:style w:type="paragraph" w:styleId="4">
    <w:name w:val="heading 3"/>
    <w:basedOn w:val="1"/>
    <w:next w:val="1"/>
    <w:link w:val="37"/>
    <w:unhideWhenUsed/>
    <w:qFormat/>
    <w:uiPriority w:val="0"/>
    <w:pPr>
      <w:keepNext/>
      <w:keepLines/>
      <w:numPr>
        <w:ilvl w:val="2"/>
        <w:numId w:val="1"/>
      </w:numPr>
      <w:spacing w:before="50" w:beforeLines="50" w:after="50" w:afterLines="50" w:line="240" w:lineRule="auto"/>
      <w:ind w:left="0" w:firstLine="0" w:firstLineChars="0"/>
      <w:outlineLvl w:val="2"/>
    </w:pPr>
    <w:rPr>
      <w:rFonts w:cs="Times New Roman"/>
      <w:b/>
      <w:bCs/>
      <w:sz w:val="28"/>
      <w:szCs w:val="32"/>
    </w:rPr>
  </w:style>
  <w:style w:type="paragraph" w:styleId="5">
    <w:name w:val="heading 4"/>
    <w:basedOn w:val="1"/>
    <w:next w:val="1"/>
    <w:link w:val="38"/>
    <w:unhideWhenUsed/>
    <w:qFormat/>
    <w:uiPriority w:val="0"/>
    <w:pPr>
      <w:keepNext/>
      <w:keepLines/>
      <w:numPr>
        <w:ilvl w:val="0"/>
        <w:numId w:val="2"/>
      </w:numPr>
      <w:spacing w:before="50" w:beforeLines="50" w:line="240" w:lineRule="auto"/>
      <w:ind w:left="480" w:leftChars="200" w:firstLine="0" w:firstLineChars="0"/>
      <w:outlineLvl w:val="3"/>
    </w:pPr>
    <w:rPr>
      <w:rFonts w:asciiTheme="majorHAnsi" w:hAnsiTheme="majorHAnsi" w:eastAsiaTheme="majorEastAsia" w:cstheme="majorBidi"/>
      <w:b/>
      <w:bCs/>
      <w:szCs w:val="28"/>
    </w:rPr>
  </w:style>
  <w:style w:type="paragraph" w:styleId="6">
    <w:name w:val="heading 5"/>
    <w:basedOn w:val="1"/>
    <w:next w:val="1"/>
    <w:link w:val="39"/>
    <w:unhideWhenUsed/>
    <w:qFormat/>
    <w:uiPriority w:val="0"/>
    <w:pPr>
      <w:keepNext/>
      <w:keepLines/>
      <w:numPr>
        <w:ilvl w:val="4"/>
        <w:numId w:val="1"/>
      </w:numPr>
      <w:spacing w:before="280" w:after="290" w:line="376" w:lineRule="auto"/>
      <w:ind w:firstLine="0" w:firstLineChars="0"/>
      <w:outlineLvl w:val="4"/>
    </w:pPr>
    <w:rPr>
      <w:b/>
      <w:bCs/>
      <w:sz w:val="28"/>
      <w:szCs w:val="28"/>
    </w:rPr>
  </w:style>
  <w:style w:type="paragraph" w:styleId="7">
    <w:name w:val="heading 6"/>
    <w:basedOn w:val="1"/>
    <w:next w:val="1"/>
    <w:link w:val="40"/>
    <w:unhideWhenUsed/>
    <w:qFormat/>
    <w:uiPriority w:val="0"/>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41"/>
    <w:unhideWhenUsed/>
    <w:qFormat/>
    <w:uiPriority w:val="0"/>
    <w:pPr>
      <w:keepNext/>
      <w:keepLines/>
      <w:numPr>
        <w:ilvl w:val="6"/>
        <w:numId w:val="1"/>
      </w:numPr>
      <w:spacing w:before="240" w:after="64" w:line="320" w:lineRule="auto"/>
      <w:ind w:firstLine="0" w:firstLineChars="0"/>
      <w:outlineLvl w:val="6"/>
    </w:pPr>
    <w:rPr>
      <w:b/>
      <w:bCs/>
      <w:szCs w:val="24"/>
    </w:rPr>
  </w:style>
  <w:style w:type="paragraph" w:styleId="9">
    <w:name w:val="heading 8"/>
    <w:basedOn w:val="1"/>
    <w:next w:val="1"/>
    <w:link w:val="42"/>
    <w:unhideWhenUsed/>
    <w:qFormat/>
    <w:uiPriority w:val="0"/>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43"/>
    <w:unhideWhenUsed/>
    <w:qFormat/>
    <w:uiPriority w:val="0"/>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29">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74"/>
    <w:unhideWhenUsed/>
    <w:qFormat/>
    <w:uiPriority w:val="99"/>
    <w:rPr>
      <w:b/>
      <w:bCs/>
    </w:rPr>
  </w:style>
  <w:style w:type="paragraph" w:styleId="12">
    <w:name w:val="annotation text"/>
    <w:basedOn w:val="1"/>
    <w:link w:val="73"/>
    <w:unhideWhenUsed/>
    <w:qFormat/>
    <w:uiPriority w:val="99"/>
    <w:pPr>
      <w:jc w:val="left"/>
    </w:pPr>
  </w:style>
  <w:style w:type="paragraph" w:styleId="13">
    <w:name w:val="toc 7"/>
    <w:basedOn w:val="1"/>
    <w:next w:val="1"/>
    <w:unhideWhenUsed/>
    <w:qFormat/>
    <w:uiPriority w:val="39"/>
    <w:pPr>
      <w:ind w:left="1440"/>
      <w:jc w:val="left"/>
    </w:pPr>
    <w:rPr>
      <w:rFonts w:asciiTheme="minorHAnsi" w:hAnsiTheme="minorHAnsi"/>
      <w:sz w:val="18"/>
      <w:szCs w:val="18"/>
    </w:rPr>
  </w:style>
  <w:style w:type="paragraph" w:styleId="14">
    <w:name w:val="Normal Indent"/>
    <w:basedOn w:val="1"/>
    <w:qFormat/>
    <w:uiPriority w:val="0"/>
    <w:pPr>
      <w:spacing w:line="240" w:lineRule="auto"/>
      <w:ind w:firstLine="420"/>
    </w:pPr>
    <w:rPr>
      <w:rFonts w:cs="Times New Roman"/>
      <w:sz w:val="21"/>
      <w:szCs w:val="20"/>
    </w:rPr>
  </w:style>
  <w:style w:type="paragraph" w:styleId="15">
    <w:name w:val="caption"/>
    <w:basedOn w:val="1"/>
    <w:next w:val="1"/>
    <w:unhideWhenUsed/>
    <w:qFormat/>
    <w:uiPriority w:val="35"/>
    <w:pPr>
      <w:jc w:val="center"/>
    </w:pPr>
    <w:rPr>
      <w:rFonts w:eastAsia="黑体" w:cstheme="majorBidi"/>
      <w:sz w:val="21"/>
      <w:szCs w:val="20"/>
    </w:rPr>
  </w:style>
  <w:style w:type="paragraph" w:styleId="16">
    <w:name w:val="Body Text"/>
    <w:basedOn w:val="1"/>
    <w:qFormat/>
    <w:uiPriority w:val="0"/>
    <w:pPr>
      <w:spacing w:after="120"/>
    </w:pPr>
  </w:style>
  <w:style w:type="paragraph" w:styleId="17">
    <w:name w:val="toc 5"/>
    <w:basedOn w:val="1"/>
    <w:next w:val="1"/>
    <w:unhideWhenUsed/>
    <w:qFormat/>
    <w:uiPriority w:val="39"/>
    <w:pPr>
      <w:ind w:left="960"/>
      <w:jc w:val="left"/>
    </w:pPr>
    <w:rPr>
      <w:rFonts w:asciiTheme="minorHAnsi" w:hAnsiTheme="minorHAnsi"/>
      <w:sz w:val="18"/>
      <w:szCs w:val="18"/>
    </w:rPr>
  </w:style>
  <w:style w:type="paragraph" w:styleId="18">
    <w:name w:val="toc 3"/>
    <w:basedOn w:val="1"/>
    <w:next w:val="1"/>
    <w:unhideWhenUsed/>
    <w:qFormat/>
    <w:uiPriority w:val="39"/>
    <w:pPr>
      <w:spacing w:line="240" w:lineRule="auto"/>
      <w:ind w:left="482"/>
      <w:jc w:val="left"/>
    </w:pPr>
    <w:rPr>
      <w:rFonts w:eastAsia="Times New Roman" w:asciiTheme="minorHAnsi" w:hAnsiTheme="minorHAnsi"/>
      <w:iCs/>
      <w:sz w:val="21"/>
      <w:szCs w:val="20"/>
    </w:rPr>
  </w:style>
  <w:style w:type="paragraph" w:styleId="19">
    <w:name w:val="toc 8"/>
    <w:basedOn w:val="1"/>
    <w:next w:val="1"/>
    <w:unhideWhenUsed/>
    <w:qFormat/>
    <w:uiPriority w:val="39"/>
    <w:pPr>
      <w:ind w:left="1680"/>
      <w:jc w:val="left"/>
    </w:pPr>
    <w:rPr>
      <w:rFonts w:asciiTheme="minorHAnsi" w:hAnsiTheme="minorHAnsi"/>
      <w:sz w:val="18"/>
      <w:szCs w:val="18"/>
    </w:rPr>
  </w:style>
  <w:style w:type="paragraph" w:styleId="20">
    <w:name w:val="Balloon Text"/>
    <w:basedOn w:val="1"/>
    <w:link w:val="52"/>
    <w:unhideWhenUsed/>
    <w:qFormat/>
    <w:uiPriority w:val="99"/>
    <w:pPr>
      <w:spacing w:line="240" w:lineRule="auto"/>
    </w:pPr>
    <w:rPr>
      <w:sz w:val="18"/>
      <w:szCs w:val="18"/>
    </w:rPr>
  </w:style>
  <w:style w:type="paragraph" w:styleId="21">
    <w:name w:val="footer"/>
    <w:basedOn w:val="1"/>
    <w:link w:val="51"/>
    <w:unhideWhenUsed/>
    <w:qFormat/>
    <w:uiPriority w:val="99"/>
    <w:pPr>
      <w:tabs>
        <w:tab w:val="center" w:pos="4153"/>
        <w:tab w:val="right" w:pos="8306"/>
      </w:tabs>
      <w:snapToGrid w:val="0"/>
      <w:spacing w:line="240" w:lineRule="atLeast"/>
      <w:jc w:val="left"/>
    </w:pPr>
    <w:rPr>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3">
    <w:name w:val="toc 1"/>
    <w:basedOn w:val="1"/>
    <w:next w:val="1"/>
    <w:unhideWhenUsed/>
    <w:qFormat/>
    <w:uiPriority w:val="39"/>
    <w:pPr>
      <w:tabs>
        <w:tab w:val="left" w:pos="960"/>
        <w:tab w:val="right" w:leader="dot" w:pos="8296"/>
      </w:tabs>
      <w:spacing w:before="120" w:after="120" w:line="240" w:lineRule="auto"/>
      <w:jc w:val="left"/>
    </w:pPr>
    <w:rPr>
      <w:rFonts w:eastAsia="Times New Roman" w:cs="Times New Roman"/>
      <w:b/>
      <w:bCs/>
      <w:caps/>
      <w:sz w:val="21"/>
      <w:szCs w:val="24"/>
    </w:rPr>
  </w:style>
  <w:style w:type="paragraph" w:styleId="24">
    <w:name w:val="toc 4"/>
    <w:basedOn w:val="1"/>
    <w:next w:val="1"/>
    <w:unhideWhenUsed/>
    <w:qFormat/>
    <w:uiPriority w:val="39"/>
    <w:pPr>
      <w:spacing w:line="240" w:lineRule="auto"/>
      <w:ind w:left="720"/>
      <w:jc w:val="left"/>
    </w:pPr>
    <w:rPr>
      <w:rFonts w:eastAsia="Times New Roman" w:asciiTheme="minorHAnsi" w:hAnsiTheme="minorHAnsi"/>
      <w:sz w:val="21"/>
      <w:szCs w:val="18"/>
    </w:rPr>
  </w:style>
  <w:style w:type="paragraph" w:styleId="25">
    <w:name w:val="toc 6"/>
    <w:basedOn w:val="1"/>
    <w:next w:val="1"/>
    <w:unhideWhenUsed/>
    <w:qFormat/>
    <w:uiPriority w:val="39"/>
    <w:pPr>
      <w:ind w:left="1200"/>
      <w:jc w:val="left"/>
    </w:pPr>
    <w:rPr>
      <w:rFonts w:asciiTheme="minorHAnsi" w:hAnsiTheme="minorHAnsi"/>
      <w:sz w:val="18"/>
      <w:szCs w:val="18"/>
    </w:rPr>
  </w:style>
  <w:style w:type="paragraph" w:styleId="26">
    <w:name w:val="toc 2"/>
    <w:basedOn w:val="1"/>
    <w:next w:val="1"/>
    <w:unhideWhenUsed/>
    <w:qFormat/>
    <w:uiPriority w:val="39"/>
    <w:pPr>
      <w:tabs>
        <w:tab w:val="left" w:pos="1200"/>
        <w:tab w:val="right" w:leader="dot" w:pos="8296"/>
      </w:tabs>
      <w:spacing w:line="240" w:lineRule="auto"/>
      <w:ind w:left="238"/>
      <w:jc w:val="left"/>
    </w:pPr>
    <w:rPr>
      <w:rFonts w:eastAsia="Times New Roman" w:cs="Times New Roman"/>
      <w:smallCaps/>
      <w:sz w:val="21"/>
      <w:szCs w:val="21"/>
    </w:rPr>
  </w:style>
  <w:style w:type="paragraph" w:styleId="27">
    <w:name w:val="toc 9"/>
    <w:basedOn w:val="1"/>
    <w:next w:val="1"/>
    <w:unhideWhenUsed/>
    <w:qFormat/>
    <w:uiPriority w:val="39"/>
    <w:pPr>
      <w:ind w:left="1920"/>
      <w:jc w:val="left"/>
    </w:pPr>
    <w:rPr>
      <w:rFonts w:asciiTheme="minorHAnsi" w:hAnsiTheme="minorHAnsi"/>
      <w:sz w:val="18"/>
      <w:szCs w:val="18"/>
    </w:rPr>
  </w:style>
  <w:style w:type="paragraph" w:styleId="28">
    <w:name w:val="Title"/>
    <w:basedOn w:val="1"/>
    <w:next w:val="1"/>
    <w:link w:val="72"/>
    <w:qFormat/>
    <w:uiPriority w:val="10"/>
    <w:pPr>
      <w:spacing w:before="240" w:after="60"/>
      <w:jc w:val="center"/>
      <w:outlineLvl w:val="0"/>
    </w:pPr>
    <w:rPr>
      <w:rFonts w:cstheme="majorBidi"/>
      <w:b/>
      <w:bCs/>
      <w:sz w:val="32"/>
      <w:szCs w:val="32"/>
    </w:rPr>
  </w:style>
  <w:style w:type="character" w:styleId="30">
    <w:name w:val="Hyperlink"/>
    <w:basedOn w:val="29"/>
    <w:unhideWhenUsed/>
    <w:qFormat/>
    <w:uiPriority w:val="99"/>
    <w:rPr>
      <w:color w:val="0000FF" w:themeColor="hyperlink"/>
      <w:u w:val="single"/>
      <w14:textFill>
        <w14:solidFill>
          <w14:schemeClr w14:val="hlink"/>
        </w14:solidFill>
      </w14:textFill>
    </w:rPr>
  </w:style>
  <w:style w:type="character" w:styleId="31">
    <w:name w:val="annotation reference"/>
    <w:basedOn w:val="29"/>
    <w:unhideWhenUsed/>
    <w:qFormat/>
    <w:uiPriority w:val="99"/>
    <w:rPr>
      <w:sz w:val="21"/>
      <w:szCs w:val="21"/>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4">
    <w:name w:val="标题 1 字符"/>
    <w:basedOn w:val="29"/>
    <w:link w:val="2"/>
    <w:qFormat/>
    <w:uiPriority w:val="9"/>
    <w:rPr>
      <w:rFonts w:asciiTheme="majorHAnsi" w:hAnsiTheme="majorHAnsi" w:eastAsiaTheme="majorEastAsia" w:cstheme="majorBidi"/>
      <w:b/>
      <w:bCs/>
      <w:kern w:val="44"/>
      <w:sz w:val="32"/>
      <w:szCs w:val="44"/>
    </w:rPr>
  </w:style>
  <w:style w:type="paragraph" w:customStyle="1" w:styleId="35">
    <w:name w:val="列出段落1"/>
    <w:basedOn w:val="1"/>
    <w:qFormat/>
    <w:uiPriority w:val="34"/>
    <w:pPr>
      <w:ind w:firstLine="420"/>
    </w:pPr>
  </w:style>
  <w:style w:type="character" w:customStyle="1" w:styleId="36">
    <w:name w:val="标题 2 字符"/>
    <w:basedOn w:val="29"/>
    <w:link w:val="3"/>
    <w:qFormat/>
    <w:uiPriority w:val="9"/>
    <w:rPr>
      <w:rFonts w:asciiTheme="majorHAnsi" w:hAnsiTheme="majorHAnsi" w:eastAsiaTheme="majorEastAsia" w:cstheme="majorBidi"/>
      <w:b/>
      <w:kern w:val="2"/>
      <w:sz w:val="30"/>
      <w:szCs w:val="32"/>
    </w:rPr>
  </w:style>
  <w:style w:type="character" w:customStyle="1" w:styleId="37">
    <w:name w:val="标题 3 字符"/>
    <w:link w:val="4"/>
    <w:qFormat/>
    <w:uiPriority w:val="9"/>
    <w:rPr>
      <w:rFonts w:ascii="Times New Roman" w:hAnsi="Times New Roman" w:eastAsia="宋体" w:cs="Times New Roman"/>
      <w:b/>
      <w:bCs/>
      <w:kern w:val="2"/>
      <w:sz w:val="28"/>
      <w:szCs w:val="32"/>
      <w:highlight w:val="none"/>
      <w:lang w:val="en-US" w:eastAsia="zh-CN" w:bidi="ar-SA"/>
    </w:rPr>
  </w:style>
  <w:style w:type="character" w:customStyle="1" w:styleId="38">
    <w:name w:val="标题 4 字符"/>
    <w:basedOn w:val="29"/>
    <w:link w:val="5"/>
    <w:qFormat/>
    <w:uiPriority w:val="0"/>
    <w:rPr>
      <w:rFonts w:asciiTheme="majorHAnsi" w:hAnsiTheme="majorHAnsi" w:eastAsiaTheme="majorEastAsia" w:cstheme="majorBidi"/>
      <w:b/>
      <w:bCs/>
      <w:sz w:val="24"/>
      <w:szCs w:val="28"/>
    </w:rPr>
  </w:style>
  <w:style w:type="character" w:customStyle="1" w:styleId="39">
    <w:name w:val="标题 5 字符"/>
    <w:basedOn w:val="29"/>
    <w:link w:val="6"/>
    <w:semiHidden/>
    <w:qFormat/>
    <w:uiPriority w:val="9"/>
    <w:rPr>
      <w:rFonts w:ascii="Times New Roman" w:hAnsi="Times New Roman" w:eastAsia="宋体"/>
      <w:b/>
      <w:bCs/>
      <w:sz w:val="28"/>
      <w:szCs w:val="28"/>
    </w:rPr>
  </w:style>
  <w:style w:type="character" w:customStyle="1" w:styleId="40">
    <w:name w:val="标题 6 字符"/>
    <w:basedOn w:val="29"/>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9"/>
    <w:link w:val="8"/>
    <w:semiHidden/>
    <w:qFormat/>
    <w:uiPriority w:val="9"/>
    <w:rPr>
      <w:rFonts w:ascii="Times New Roman" w:hAnsi="Times New Roman" w:eastAsia="宋体"/>
      <w:b/>
      <w:bCs/>
      <w:sz w:val="24"/>
      <w:szCs w:val="24"/>
    </w:rPr>
  </w:style>
  <w:style w:type="character" w:customStyle="1" w:styleId="42">
    <w:name w:val="标题 8 字符"/>
    <w:basedOn w:val="29"/>
    <w:link w:val="9"/>
    <w:semiHidden/>
    <w:qFormat/>
    <w:uiPriority w:val="9"/>
    <w:rPr>
      <w:rFonts w:asciiTheme="majorHAnsi" w:hAnsiTheme="majorHAnsi" w:eastAsiaTheme="majorEastAsia" w:cstheme="majorBidi"/>
      <w:sz w:val="24"/>
      <w:szCs w:val="24"/>
    </w:rPr>
  </w:style>
  <w:style w:type="character" w:customStyle="1" w:styleId="43">
    <w:name w:val="标题 9 字符"/>
    <w:basedOn w:val="29"/>
    <w:link w:val="10"/>
    <w:semiHidden/>
    <w:qFormat/>
    <w:uiPriority w:val="9"/>
    <w:rPr>
      <w:rFonts w:asciiTheme="majorHAnsi" w:hAnsiTheme="majorHAnsi" w:eastAsiaTheme="majorEastAsia" w:cstheme="majorBidi"/>
      <w:sz w:val="24"/>
      <w:szCs w:val="21"/>
    </w:rPr>
  </w:style>
  <w:style w:type="paragraph" w:customStyle="1" w:styleId="44">
    <w:name w:val="A正文"/>
    <w:basedOn w:val="1"/>
    <w:link w:val="46"/>
    <w:qFormat/>
    <w:uiPriority w:val="0"/>
    <w:pPr>
      <w:spacing w:line="360" w:lineRule="auto"/>
    </w:pPr>
    <w:rPr>
      <w:szCs w:val="24"/>
    </w:rPr>
  </w:style>
  <w:style w:type="paragraph" w:customStyle="1" w:styleId="45">
    <w:name w:val="无间隔1"/>
    <w:link w:val="57"/>
    <w:qFormat/>
    <w:uiPriority w:val="1"/>
    <w:pPr>
      <w:widowControl w:val="0"/>
      <w:jc w:val="both"/>
    </w:pPr>
    <w:rPr>
      <w:rFonts w:ascii="Times New Roman" w:hAnsi="Times New Roman" w:eastAsia="宋体" w:cstheme="minorBidi"/>
      <w:kern w:val="2"/>
      <w:sz w:val="24"/>
      <w:szCs w:val="22"/>
      <w:lang w:val="en-US" w:eastAsia="zh-CN" w:bidi="ar-SA"/>
    </w:rPr>
  </w:style>
  <w:style w:type="character" w:customStyle="1" w:styleId="46">
    <w:name w:val="A正文 字符"/>
    <w:basedOn w:val="29"/>
    <w:link w:val="44"/>
    <w:qFormat/>
    <w:uiPriority w:val="0"/>
    <w:rPr>
      <w:rFonts w:ascii="Times New Roman" w:hAnsi="Times New Roman" w:eastAsia="宋体"/>
      <w:sz w:val="24"/>
      <w:szCs w:val="24"/>
    </w:rPr>
  </w:style>
  <w:style w:type="character" w:customStyle="1" w:styleId="47">
    <w:name w:val="0正文 Char Char"/>
    <w:link w:val="48"/>
    <w:qFormat/>
    <w:uiPriority w:val="0"/>
    <w:rPr>
      <w:sz w:val="24"/>
      <w:szCs w:val="24"/>
    </w:rPr>
  </w:style>
  <w:style w:type="paragraph" w:customStyle="1" w:styleId="48">
    <w:name w:val="0正文"/>
    <w:basedOn w:val="1"/>
    <w:link w:val="47"/>
    <w:qFormat/>
    <w:uiPriority w:val="0"/>
    <w:pPr>
      <w:spacing w:line="360" w:lineRule="auto"/>
    </w:pPr>
    <w:rPr>
      <w:rFonts w:asciiTheme="minorHAnsi" w:hAnsiTheme="minorHAnsi" w:eastAsiaTheme="minorEastAsia"/>
      <w:szCs w:val="24"/>
    </w:rPr>
  </w:style>
  <w:style w:type="paragraph" w:customStyle="1" w:styleId="49">
    <w:name w:val="图1   正文图标题"/>
    <w:basedOn w:val="1"/>
    <w:qFormat/>
    <w:uiPriority w:val="0"/>
    <w:pPr>
      <w:numPr>
        <w:ilvl w:val="0"/>
        <w:numId w:val="3"/>
      </w:numPr>
      <w:tabs>
        <w:tab w:val="left" w:pos="0"/>
      </w:tabs>
      <w:snapToGrid w:val="0"/>
      <w:spacing w:line="240" w:lineRule="auto"/>
      <w:ind w:left="0" w:firstLineChars="0"/>
      <w:jc w:val="center"/>
    </w:pPr>
    <w:rPr>
      <w:rFonts w:ascii="黑体" w:eastAsia="黑体" w:cs="Times New Roman"/>
      <w:sz w:val="21"/>
      <w:szCs w:val="21"/>
    </w:rPr>
  </w:style>
  <w:style w:type="character" w:customStyle="1" w:styleId="50">
    <w:name w:val="页眉 字符"/>
    <w:basedOn w:val="29"/>
    <w:link w:val="22"/>
    <w:qFormat/>
    <w:uiPriority w:val="99"/>
    <w:rPr>
      <w:rFonts w:ascii="Times New Roman" w:hAnsi="Times New Roman" w:eastAsia="宋体"/>
      <w:sz w:val="18"/>
      <w:szCs w:val="18"/>
    </w:rPr>
  </w:style>
  <w:style w:type="character" w:customStyle="1" w:styleId="51">
    <w:name w:val="页脚 字符"/>
    <w:basedOn w:val="29"/>
    <w:link w:val="21"/>
    <w:qFormat/>
    <w:uiPriority w:val="99"/>
    <w:rPr>
      <w:rFonts w:ascii="Times New Roman" w:hAnsi="Times New Roman" w:eastAsia="宋体"/>
      <w:sz w:val="18"/>
      <w:szCs w:val="18"/>
    </w:rPr>
  </w:style>
  <w:style w:type="character" w:customStyle="1" w:styleId="52">
    <w:name w:val="批注框文本 字符"/>
    <w:basedOn w:val="29"/>
    <w:link w:val="20"/>
    <w:semiHidden/>
    <w:qFormat/>
    <w:uiPriority w:val="99"/>
    <w:rPr>
      <w:rFonts w:ascii="Times New Roman" w:hAnsi="Times New Roman" w:eastAsia="宋体"/>
      <w:sz w:val="18"/>
      <w:szCs w:val="18"/>
    </w:rPr>
  </w:style>
  <w:style w:type="paragraph" w:customStyle="1" w:styleId="53">
    <w:name w:val="正文表标题"/>
    <w:next w:val="1"/>
    <w:qFormat/>
    <w:uiPriority w:val="0"/>
    <w:pPr>
      <w:snapToGrid w:val="0"/>
      <w:jc w:val="center"/>
    </w:pPr>
    <w:rPr>
      <w:rFonts w:ascii="黑体" w:hAnsi="Times New Roman" w:eastAsia="黑体" w:cs="Times New Roman"/>
      <w:sz w:val="21"/>
      <w:lang w:val="en-US" w:eastAsia="zh-CN" w:bidi="ar-SA"/>
    </w:rPr>
  </w:style>
  <w:style w:type="paragraph" w:customStyle="1" w:styleId="54">
    <w:name w:val="A标题3"/>
    <w:basedOn w:val="44"/>
    <w:next w:val="44"/>
    <w:link w:val="55"/>
    <w:qFormat/>
    <w:uiPriority w:val="0"/>
    <w:pPr>
      <w:ind w:firstLine="482"/>
      <w:outlineLvl w:val="2"/>
    </w:pPr>
    <w:rPr>
      <w:rFonts w:cs="Times New Roman"/>
      <w:b/>
    </w:rPr>
  </w:style>
  <w:style w:type="character" w:customStyle="1" w:styleId="55">
    <w:name w:val="A标题3 字符"/>
    <w:link w:val="54"/>
    <w:qFormat/>
    <w:uiPriority w:val="0"/>
    <w:rPr>
      <w:rFonts w:ascii="Times New Roman" w:hAnsi="Times New Roman" w:eastAsia="宋体" w:cs="Times New Roman"/>
      <w:b/>
      <w:sz w:val="24"/>
      <w:szCs w:val="24"/>
    </w:rPr>
  </w:style>
  <w:style w:type="paragraph" w:customStyle="1" w:styleId="56">
    <w:name w:val="表格文字"/>
    <w:basedOn w:val="1"/>
    <w:link w:val="58"/>
    <w:qFormat/>
    <w:uiPriority w:val="0"/>
    <w:pPr>
      <w:spacing w:line="240" w:lineRule="auto"/>
      <w:ind w:firstLine="0" w:firstLineChars="0"/>
      <w:jc w:val="center"/>
    </w:pPr>
    <w:rPr>
      <w:sz w:val="21"/>
      <w:szCs w:val="21"/>
    </w:rPr>
  </w:style>
  <w:style w:type="character" w:customStyle="1" w:styleId="57">
    <w:name w:val="无间隔 字符"/>
    <w:basedOn w:val="29"/>
    <w:link w:val="45"/>
    <w:qFormat/>
    <w:uiPriority w:val="1"/>
    <w:rPr>
      <w:rFonts w:ascii="Times New Roman" w:hAnsi="Times New Roman" w:eastAsia="宋体"/>
      <w:sz w:val="24"/>
    </w:rPr>
  </w:style>
  <w:style w:type="character" w:customStyle="1" w:styleId="58">
    <w:name w:val="表格文字 字符"/>
    <w:basedOn w:val="29"/>
    <w:link w:val="56"/>
    <w:qFormat/>
    <w:uiPriority w:val="0"/>
    <w:rPr>
      <w:rFonts w:ascii="Times New Roman" w:hAnsi="Times New Roman" w:eastAsia="宋体"/>
      <w:szCs w:val="21"/>
    </w:rPr>
  </w:style>
  <w:style w:type="paragraph" w:customStyle="1" w:styleId="59">
    <w:name w:val="二级无标题条"/>
    <w:basedOn w:val="1"/>
    <w:qFormat/>
    <w:uiPriority w:val="0"/>
    <w:pPr>
      <w:numPr>
        <w:ilvl w:val="3"/>
        <w:numId w:val="4"/>
      </w:numPr>
      <w:spacing w:line="240" w:lineRule="auto"/>
      <w:ind w:firstLineChars="0"/>
    </w:pPr>
    <w:rPr>
      <w:rFonts w:cs="Times New Roman"/>
      <w:sz w:val="21"/>
      <w:szCs w:val="20"/>
    </w:rPr>
  </w:style>
  <w:style w:type="paragraph" w:customStyle="1" w:styleId="60">
    <w:name w:val="四级无标题条"/>
    <w:basedOn w:val="1"/>
    <w:qFormat/>
    <w:uiPriority w:val="0"/>
    <w:pPr>
      <w:numPr>
        <w:ilvl w:val="5"/>
        <w:numId w:val="4"/>
      </w:numPr>
      <w:spacing w:line="240" w:lineRule="auto"/>
      <w:ind w:firstLineChars="0"/>
    </w:pPr>
    <w:rPr>
      <w:rFonts w:cs="Times New Roman"/>
      <w:sz w:val="21"/>
      <w:szCs w:val="20"/>
    </w:rPr>
  </w:style>
  <w:style w:type="paragraph" w:customStyle="1" w:styleId="61">
    <w:name w:val="三级无标题条"/>
    <w:basedOn w:val="1"/>
    <w:qFormat/>
    <w:uiPriority w:val="0"/>
    <w:pPr>
      <w:numPr>
        <w:ilvl w:val="4"/>
        <w:numId w:val="4"/>
      </w:numPr>
      <w:spacing w:line="240" w:lineRule="auto"/>
      <w:ind w:firstLineChars="0"/>
    </w:pPr>
    <w:rPr>
      <w:rFonts w:cs="Times New Roman"/>
      <w:sz w:val="21"/>
      <w:szCs w:val="20"/>
    </w:rPr>
  </w:style>
  <w:style w:type="paragraph" w:customStyle="1" w:styleId="62">
    <w:name w:val="五级无标题条"/>
    <w:basedOn w:val="1"/>
    <w:qFormat/>
    <w:uiPriority w:val="0"/>
    <w:pPr>
      <w:numPr>
        <w:ilvl w:val="6"/>
        <w:numId w:val="4"/>
      </w:numPr>
      <w:spacing w:line="240" w:lineRule="auto"/>
      <w:ind w:firstLineChars="0"/>
    </w:pPr>
    <w:rPr>
      <w:rFonts w:cs="Times New Roman"/>
      <w:sz w:val="21"/>
      <w:szCs w:val="20"/>
    </w:rPr>
  </w:style>
  <w:style w:type="paragraph" w:customStyle="1" w:styleId="63">
    <w:name w:val="一级无标题条"/>
    <w:basedOn w:val="1"/>
    <w:qFormat/>
    <w:uiPriority w:val="0"/>
    <w:pPr>
      <w:numPr>
        <w:ilvl w:val="2"/>
        <w:numId w:val="4"/>
      </w:numPr>
      <w:spacing w:line="240" w:lineRule="auto"/>
      <w:ind w:firstLineChars="0"/>
    </w:pPr>
    <w:rPr>
      <w:rFonts w:cs="Times New Roman"/>
      <w:sz w:val="21"/>
      <w:szCs w:val="20"/>
    </w:rPr>
  </w:style>
  <w:style w:type="paragraph" w:customStyle="1" w:styleId="64">
    <w:name w:val="TOC 标题1"/>
    <w:basedOn w:val="2"/>
    <w:next w:val="1"/>
    <w:unhideWhenUsed/>
    <w:qFormat/>
    <w:uiPriority w:val="39"/>
    <w:pPr>
      <w:widowControl/>
      <w:numPr>
        <w:numId w:val="0"/>
      </w:numPr>
      <w:spacing w:before="240" w:line="259" w:lineRule="auto"/>
      <w:jc w:val="left"/>
      <w:outlineLvl w:val="9"/>
    </w:pPr>
    <w:rPr>
      <w:b w:val="0"/>
      <w:bCs w:val="0"/>
      <w:color w:val="376092" w:themeColor="accent1" w:themeShade="BF"/>
      <w:kern w:val="0"/>
      <w:szCs w:val="32"/>
    </w:rPr>
  </w:style>
  <w:style w:type="paragraph" w:customStyle="1" w:styleId="65">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66">
    <w:name w:val="占位符文本1"/>
    <w:basedOn w:val="29"/>
    <w:semiHidden/>
    <w:qFormat/>
    <w:uiPriority w:val="99"/>
    <w:rPr>
      <w:color w:val="808080"/>
    </w:rPr>
  </w:style>
  <w:style w:type="table" w:customStyle="1" w:styleId="67">
    <w:name w:val="网格型1"/>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8">
    <w:name w:val="注释"/>
    <w:basedOn w:val="1"/>
    <w:link w:val="69"/>
    <w:qFormat/>
    <w:uiPriority w:val="0"/>
    <w:pPr>
      <w:spacing w:line="240" w:lineRule="auto"/>
    </w:pPr>
    <w:rPr>
      <w:sz w:val="21"/>
      <w:szCs w:val="21"/>
    </w:rPr>
  </w:style>
  <w:style w:type="character" w:customStyle="1" w:styleId="69">
    <w:name w:val="注释 Char"/>
    <w:basedOn w:val="29"/>
    <w:link w:val="68"/>
    <w:qFormat/>
    <w:uiPriority w:val="0"/>
    <w:rPr>
      <w:rFonts w:ascii="Times New Roman" w:hAnsi="Times New Roman" w:eastAsia="宋体"/>
      <w:szCs w:val="21"/>
    </w:rPr>
  </w:style>
  <w:style w:type="paragraph" w:customStyle="1" w:styleId="70">
    <w:name w:val="单位"/>
    <w:basedOn w:val="1"/>
    <w:link w:val="71"/>
    <w:qFormat/>
    <w:uiPriority w:val="0"/>
    <w:pPr>
      <w:ind w:firstLine="420"/>
      <w:jc w:val="right"/>
    </w:pPr>
    <w:rPr>
      <w:rFonts w:cs="Times New Roman"/>
      <w:sz w:val="21"/>
    </w:rPr>
  </w:style>
  <w:style w:type="character" w:customStyle="1" w:styleId="71">
    <w:name w:val="单位 Char"/>
    <w:basedOn w:val="29"/>
    <w:link w:val="70"/>
    <w:qFormat/>
    <w:uiPriority w:val="0"/>
    <w:rPr>
      <w:rFonts w:ascii="Times New Roman" w:hAnsi="Times New Roman" w:eastAsia="宋体" w:cs="Times New Roman"/>
    </w:rPr>
  </w:style>
  <w:style w:type="character" w:customStyle="1" w:styleId="72">
    <w:name w:val="标题 字符"/>
    <w:basedOn w:val="29"/>
    <w:link w:val="28"/>
    <w:qFormat/>
    <w:uiPriority w:val="10"/>
    <w:rPr>
      <w:rFonts w:ascii="Times New Roman" w:hAnsi="Times New Roman" w:eastAsia="宋体" w:cstheme="majorBidi"/>
      <w:b/>
      <w:bCs/>
      <w:sz w:val="32"/>
      <w:szCs w:val="32"/>
    </w:rPr>
  </w:style>
  <w:style w:type="character" w:customStyle="1" w:styleId="73">
    <w:name w:val="批注文字 字符"/>
    <w:basedOn w:val="29"/>
    <w:link w:val="12"/>
    <w:semiHidden/>
    <w:qFormat/>
    <w:uiPriority w:val="99"/>
    <w:rPr>
      <w:rFonts w:ascii="Times New Roman" w:hAnsi="Times New Roman" w:eastAsia="宋体"/>
      <w:sz w:val="24"/>
    </w:rPr>
  </w:style>
  <w:style w:type="character" w:customStyle="1" w:styleId="74">
    <w:name w:val="批注主题 字符"/>
    <w:basedOn w:val="73"/>
    <w:link w:val="11"/>
    <w:semiHidden/>
    <w:qFormat/>
    <w:uiPriority w:val="99"/>
    <w:rPr>
      <w:rFonts w:ascii="Times New Roman" w:hAnsi="Times New Roman" w:eastAsia="宋体"/>
      <w:b/>
      <w:bCs/>
      <w:sz w:val="24"/>
    </w:rPr>
  </w:style>
  <w:style w:type="paragraph" w:customStyle="1" w:styleId="75">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76">
    <w:name w:val="Char"/>
    <w:basedOn w:val="1"/>
    <w:qFormat/>
    <w:uiPriority w:val="0"/>
    <w:pPr>
      <w:spacing w:line="240" w:lineRule="auto"/>
      <w:ind w:firstLine="0" w:firstLineChars="0"/>
    </w:pPr>
    <w:rPr>
      <w:rFonts w:cs="Times New Roman"/>
      <w:sz w:val="21"/>
      <w:szCs w:val="20"/>
    </w:rPr>
  </w:style>
  <w:style w:type="paragraph" w:customStyle="1" w:styleId="77">
    <w:name w:val="A标题1"/>
    <w:basedOn w:val="1"/>
    <w:next w:val="44"/>
    <w:link w:val="78"/>
    <w:qFormat/>
    <w:uiPriority w:val="0"/>
    <w:pPr>
      <w:spacing w:before="156" w:beforeLines="50" w:after="156" w:afterLines="50" w:line="240" w:lineRule="auto"/>
      <w:ind w:firstLine="0" w:firstLineChars="0"/>
      <w:outlineLvl w:val="0"/>
    </w:pPr>
    <w:rPr>
      <w:rFonts w:eastAsia="黑体"/>
      <w:sz w:val="30"/>
      <w:szCs w:val="30"/>
    </w:rPr>
  </w:style>
  <w:style w:type="character" w:customStyle="1" w:styleId="78">
    <w:name w:val="A标题1 字符"/>
    <w:basedOn w:val="29"/>
    <w:link w:val="77"/>
    <w:qFormat/>
    <w:uiPriority w:val="0"/>
    <w:rPr>
      <w:rFonts w:ascii="Times New Roman" w:hAnsi="Times New Roman" w:eastAsia="黑体"/>
      <w:kern w:val="2"/>
      <w:sz w:val="30"/>
      <w:szCs w:val="30"/>
    </w:rPr>
  </w:style>
  <w:style w:type="paragraph" w:customStyle="1" w:styleId="79">
    <w:name w:val="A标题2"/>
    <w:basedOn w:val="44"/>
    <w:next w:val="44"/>
    <w:link w:val="80"/>
    <w:qFormat/>
    <w:uiPriority w:val="0"/>
    <w:pPr>
      <w:spacing w:before="50" w:beforeLines="50" w:after="50" w:afterLines="50" w:line="240" w:lineRule="auto"/>
      <w:outlineLvl w:val="1"/>
    </w:pPr>
    <w:rPr>
      <w:b/>
      <w:sz w:val="28"/>
      <w:szCs w:val="28"/>
    </w:rPr>
  </w:style>
  <w:style w:type="character" w:customStyle="1" w:styleId="80">
    <w:name w:val="A标题2 字符"/>
    <w:basedOn w:val="46"/>
    <w:link w:val="79"/>
    <w:qFormat/>
    <w:uiPriority w:val="0"/>
    <w:rPr>
      <w:rFonts w:ascii="Times New Roman" w:hAnsi="Times New Roman" w:eastAsia="宋体"/>
      <w:b/>
      <w:kern w:val="2"/>
      <w:sz w:val="28"/>
      <w:szCs w:val="28"/>
    </w:rPr>
  </w:style>
  <w:style w:type="character" w:customStyle="1" w:styleId="81">
    <w:name w:val="font21"/>
    <w:basedOn w:val="29"/>
    <w:qFormat/>
    <w:uiPriority w:val="0"/>
    <w:rPr>
      <w:rFonts w:hint="default" w:ascii="Times New Roman" w:hAnsi="Times New Roman" w:cs="Times New Roman"/>
      <w:color w:val="000000"/>
      <w:sz w:val="21"/>
      <w:szCs w:val="21"/>
      <w:u w:val="none"/>
    </w:rPr>
  </w:style>
  <w:style w:type="character" w:customStyle="1" w:styleId="82">
    <w:name w:val="font31"/>
    <w:basedOn w:val="29"/>
    <w:qFormat/>
    <w:uiPriority w:val="0"/>
    <w:rPr>
      <w:rFonts w:hint="eastAsia" w:ascii="宋体" w:hAnsi="宋体" w:eastAsia="宋体" w:cs="宋体"/>
      <w:color w:val="000000"/>
      <w:sz w:val="21"/>
      <w:szCs w:val="21"/>
      <w:u w:val="none"/>
    </w:rPr>
  </w:style>
  <w:style w:type="character" w:customStyle="1" w:styleId="83">
    <w:name w:val="font11"/>
    <w:basedOn w:val="29"/>
    <w:qFormat/>
    <w:uiPriority w:val="0"/>
    <w:rPr>
      <w:rFonts w:hint="eastAsia" w:ascii="DengXian" w:hAnsi="DengXian" w:eastAsia="DengXian" w:cs="DengXian"/>
      <w:color w:val="000000"/>
      <w:sz w:val="22"/>
      <w:szCs w:val="22"/>
      <w:u w:val="none"/>
    </w:rPr>
  </w:style>
  <w:style w:type="character" w:customStyle="1" w:styleId="84">
    <w:name w:val="font01"/>
    <w:basedOn w:val="29"/>
    <w:qFormat/>
    <w:uiPriority w:val="0"/>
    <w:rPr>
      <w:rFonts w:hint="eastAsia" w:ascii="宋体" w:hAnsi="宋体" w:eastAsia="宋体" w:cs="宋体"/>
      <w:color w:val="000000"/>
      <w:sz w:val="22"/>
      <w:szCs w:val="22"/>
      <w:u w:val="none"/>
    </w:rPr>
  </w:style>
  <w:style w:type="paragraph" w:styleId="85">
    <w:name w:val="List Paragraph"/>
    <w:basedOn w:val="1"/>
    <w:qFormat/>
    <w:uiPriority w:val="99"/>
    <w:pPr>
      <w:ind w:firstLine="420"/>
    </w:pPr>
  </w:style>
  <w:style w:type="character" w:customStyle="1" w:styleId="86">
    <w:name w:val="font51"/>
    <w:basedOn w:val="29"/>
    <w:qFormat/>
    <w:uiPriority w:val="0"/>
    <w:rPr>
      <w:rFonts w:hint="default" w:ascii="Times New Roman" w:hAnsi="Times New Roman" w:cs="Times New Roman"/>
      <w:color w:val="000000"/>
      <w:sz w:val="21"/>
      <w:szCs w:val="21"/>
      <w:u w:val="none"/>
      <w:vertAlign w:val="subscript"/>
    </w:rPr>
  </w:style>
  <w:style w:type="paragraph" w:customStyle="1" w:styleId="8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8">
    <w:name w:val="font41"/>
    <w:basedOn w:val="29"/>
    <w:qFormat/>
    <w:uiPriority w:val="0"/>
    <w:rPr>
      <w:rFonts w:hint="default" w:ascii="Times New Roman" w:hAnsi="Times New Roman" w:cs="Times New Roman"/>
      <w:color w:val="000000"/>
      <w:sz w:val="21"/>
      <w:szCs w:val="21"/>
      <w:u w:val="none"/>
      <w:vertAlign w:val="subscript"/>
    </w:rPr>
  </w:style>
  <w:style w:type="paragraph" w:customStyle="1" w:styleId="89">
    <w:name w:val="Char Char Char Char Char Char Char"/>
    <w:basedOn w:val="1"/>
    <w:qFormat/>
    <w:uiPriority w:val="0"/>
    <w:pPr>
      <w:widowControl/>
      <w:spacing w:after="160" w:line="240" w:lineRule="exact"/>
      <w:ind w:firstLine="0" w:firstLineChars="0"/>
      <w:jc w:val="left"/>
    </w:pPr>
    <w:rPr>
      <w:rFonts w:ascii="Verdana" w:hAnsi="Verdana" w:eastAsia="仿宋_GB2312" w:cs="Times New Roman"/>
      <w:kern w:val="0"/>
      <w:szCs w:val="20"/>
      <w:lang w:eastAsia="en-US"/>
    </w:rPr>
  </w:style>
  <w:style w:type="paragraph" w:customStyle="1" w:styleId="90">
    <w:name w:val="正文新"/>
    <w:basedOn w:val="1"/>
    <w:qFormat/>
    <w:uiPriority w:val="0"/>
    <w:pPr>
      <w:adjustRightInd w:val="0"/>
      <w:snapToGrid w:val="0"/>
      <w:spacing w:line="520" w:lineRule="exact"/>
      <w:ind w:firstLine="420"/>
    </w:pPr>
    <w:rPr>
      <w:color w:val="000000"/>
    </w:rPr>
  </w:style>
  <w:style w:type="table" w:customStyle="1" w:styleId="91">
    <w:name w:val="网格型3"/>
    <w:basedOn w:val="32"/>
    <w:qFormat/>
    <w:uiPriority w:val="39"/>
    <w:rPr>
      <w:rFonts w:ascii="DengXian" w:hAnsi="DengXian" w:eastAsia="DengXian"/>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
    <w:name w:val="网格型2"/>
    <w:basedOn w:val="32"/>
    <w:qFormat/>
    <w:uiPriority w:val="0"/>
    <w:pPr>
      <w:numPr>
        <w:numId w:val="5"/>
      </w:numPr>
    </w:pPr>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93">
    <w:name w:val="网格型4"/>
    <w:basedOn w:val="32"/>
    <w:qFormat/>
    <w:uiPriority w:val="39"/>
    <w:rPr>
      <w:rFonts w:ascii="DengXian" w:hAnsi="DengXian" w:eastAsia="DengXi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4">
    <w:name w:val="网格型5"/>
    <w:basedOn w:val="32"/>
    <w:qFormat/>
    <w:uiPriority w:val="39"/>
    <w:rPr>
      <w:rFonts w:ascii="DengXian" w:hAnsi="DengXian" w:eastAsia="DengXi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5">
    <w:name w:val="Unresolved Mention"/>
    <w:basedOn w:val="29"/>
    <w:semiHidden/>
    <w:unhideWhenUsed/>
    <w:qFormat/>
    <w:uiPriority w:val="99"/>
    <w:rPr>
      <w:color w:val="605E5C"/>
      <w:shd w:val="clear" w:color="auto" w:fill="E1DFDD"/>
    </w:rPr>
  </w:style>
  <w:style w:type="paragraph" w:customStyle="1" w:styleId="96">
    <w:name w:val="TOC Heading"/>
    <w:basedOn w:val="2"/>
    <w:next w:val="1"/>
    <w:unhideWhenUsed/>
    <w:qFormat/>
    <w:uiPriority w:val="39"/>
    <w:pPr>
      <w:widowControl/>
      <w:numPr>
        <w:numId w:val="0"/>
      </w:numPr>
      <w:spacing w:before="240" w:beforeLines="0" w:after="0" w:afterLines="0" w:line="259" w:lineRule="auto"/>
      <w:jc w:val="left"/>
      <w:outlineLvl w:val="9"/>
    </w:pPr>
    <w:rPr>
      <w:b w:val="0"/>
      <w:bCs w:val="0"/>
      <w:color w:val="376092" w:themeColor="accent1" w:themeShade="BF"/>
      <w:kern w:val="0"/>
      <w:szCs w:val="32"/>
    </w:rPr>
  </w:style>
  <w:style w:type="table" w:customStyle="1" w:styleId="97">
    <w:name w:val="网格型11"/>
    <w:basedOn w:val="32"/>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98">
    <w:name w:val="网格型12"/>
    <w:basedOn w:val="32"/>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99">
    <w:name w:val="网格型6"/>
    <w:basedOn w:val="3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chart" Target="charts/chart4.xml"/><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D:\%5b2%5d&#24037;&#20316;\%5b1%5d&#39033;&#30446;\2021&#24180;\&#27773;&#20462;&#34892;&#19994;&#8220;4S&#8221;&#24215;&#21943;&#28034;&#25151;&#24067;&#23616;&#21450;&#27835;&#29702;&#25216;&#26415;&#35268;&#33539;\&#23454;&#27979;&#25968;&#2545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5b2%5d&#24037;&#20316;\%5b1%5d&#39033;&#30446;\2021&#24180;\&#27773;&#20462;&#34892;&#19994;&#8220;4S&#8221;&#24215;&#21943;&#28034;&#25151;&#24067;&#23616;&#21450;&#27835;&#29702;&#25216;&#26415;&#35268;&#33539;\&#23454;&#27979;&#25968;&#2545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3.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46396969461408"/>
          <c:y val="0.0562084823709759"/>
          <c:w val="0.749215347599971"/>
          <c:h val="0.819049726602264"/>
        </c:manualLayout>
      </c:layout>
      <c:barChart>
        <c:barDir val="col"/>
        <c:grouping val="percentStacked"/>
        <c:varyColors val="0"/>
        <c:ser>
          <c:idx val="0"/>
          <c:order val="0"/>
          <c:tx>
            <c:strRef>
              <c:f>Sheet3!$O$10</c:f>
              <c:strCache>
                <c:ptCount val="1"/>
                <c:pt idx="0">
                  <c:v>烷烃</c:v>
                </c:pt>
              </c:strCache>
            </c:strRef>
          </c:tx>
          <c:spPr>
            <a:solidFill>
              <a:schemeClr val="accent1"/>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Sheet3!$P$10:$Y$10</c:f>
              <c:numCache>
                <c:formatCode>0.00%</c:formatCode>
                <c:ptCount val="10"/>
                <c:pt idx="0">
                  <c:v>0.195732636620945</c:v>
                </c:pt>
                <c:pt idx="1">
                  <c:v>0.00941998453300243</c:v>
                </c:pt>
                <c:pt idx="2">
                  <c:v>0.241653418124006</c:v>
                </c:pt>
                <c:pt idx="3">
                  <c:v>0.0104505596392155</c:v>
                </c:pt>
                <c:pt idx="4">
                  <c:v>0.0881991395205901</c:v>
                </c:pt>
                <c:pt idx="5">
                  <c:v>0.191341784262138</c:v>
                </c:pt>
                <c:pt idx="6">
                  <c:v>0.190987764846315</c:v>
                </c:pt>
                <c:pt idx="7">
                  <c:v>0.0922531046717918</c:v>
                </c:pt>
                <c:pt idx="8">
                  <c:v>0.0209783655077482</c:v>
                </c:pt>
                <c:pt idx="9">
                  <c:v>0.211430855315747</c:v>
                </c:pt>
              </c:numCache>
            </c:numRef>
          </c:val>
        </c:ser>
        <c:ser>
          <c:idx val="1"/>
          <c:order val="1"/>
          <c:tx>
            <c:strRef>
              <c:f>Sheet3!$O$11</c:f>
              <c:strCache>
                <c:ptCount val="1"/>
                <c:pt idx="0">
                  <c:v>烯烃</c:v>
                </c:pt>
              </c:strCache>
            </c:strRef>
          </c:tx>
          <c:spPr>
            <a:solidFill>
              <a:schemeClr val="accent2"/>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Sheet3!$P$11:$Y$11</c:f>
              <c:numCache>
                <c:formatCode>0.00%</c:formatCode>
                <c:ptCount val="10"/>
                <c:pt idx="0">
                  <c:v>0.00587851077726976</c:v>
                </c:pt>
                <c:pt idx="1">
                  <c:v>0.0011776119214395</c:v>
                </c:pt>
                <c:pt idx="2">
                  <c:v>0.0111287758346582</c:v>
                </c:pt>
                <c:pt idx="3">
                  <c:v>0.000839829603404437</c:v>
                </c:pt>
                <c:pt idx="4">
                  <c:v>0.00676090964966196</c:v>
                </c:pt>
                <c:pt idx="5">
                  <c:v>0.0062186079885195</c:v>
                </c:pt>
                <c:pt idx="6">
                  <c:v>0.00746045956430917</c:v>
                </c:pt>
                <c:pt idx="7">
                  <c:v>0.00650502661147251</c:v>
                </c:pt>
                <c:pt idx="8">
                  <c:v>0.000823946588949361</c:v>
                </c:pt>
                <c:pt idx="9">
                  <c:v>0.00839328537170266</c:v>
                </c:pt>
              </c:numCache>
            </c:numRef>
          </c:val>
        </c:ser>
        <c:ser>
          <c:idx val="2"/>
          <c:order val="2"/>
          <c:tx>
            <c:strRef>
              <c:f>Sheet3!$O$12</c:f>
              <c:strCache>
                <c:ptCount val="1"/>
                <c:pt idx="0">
                  <c:v>芳香烃</c:v>
                </c:pt>
              </c:strCache>
            </c:strRef>
          </c:tx>
          <c:spPr>
            <a:solidFill>
              <a:schemeClr val="accent3"/>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Sheet3!$P$12:$Y$12</c:f>
              <c:numCache>
                <c:formatCode>0.00%</c:formatCode>
                <c:ptCount val="10"/>
                <c:pt idx="0">
                  <c:v>0.540169823644677</c:v>
                </c:pt>
                <c:pt idx="1">
                  <c:v>0.81529341546551</c:v>
                </c:pt>
                <c:pt idx="2">
                  <c:v>0.502914679385267</c:v>
                </c:pt>
                <c:pt idx="3">
                  <c:v>0.910383577797345</c:v>
                </c:pt>
                <c:pt idx="4">
                  <c:v>0.667178856791642</c:v>
                </c:pt>
                <c:pt idx="5">
                  <c:v>0.513991867974169</c:v>
                </c:pt>
                <c:pt idx="6">
                  <c:v>0.499552372426142</c:v>
                </c:pt>
                <c:pt idx="7">
                  <c:v>0.651389710230633</c:v>
                </c:pt>
                <c:pt idx="8">
                  <c:v>0.235446680955028</c:v>
                </c:pt>
                <c:pt idx="9">
                  <c:v>0.474020783373302</c:v>
                </c:pt>
              </c:numCache>
            </c:numRef>
          </c:val>
        </c:ser>
        <c:ser>
          <c:idx val="3"/>
          <c:order val="3"/>
          <c:tx>
            <c:strRef>
              <c:f>Sheet3!$O$13</c:f>
              <c:strCache>
                <c:ptCount val="1"/>
                <c:pt idx="0">
                  <c:v>含氧有机物</c:v>
                </c:pt>
              </c:strCache>
            </c:strRef>
          </c:tx>
          <c:spPr>
            <a:solidFill>
              <a:schemeClr val="accent4"/>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Sheet3!$P$13:$Y$13</c:f>
              <c:numCache>
                <c:formatCode>0.00%</c:formatCode>
                <c:ptCount val="10"/>
                <c:pt idx="0">
                  <c:v>0.244937949052907</c:v>
                </c:pt>
                <c:pt idx="1">
                  <c:v>0.0708662138176829</c:v>
                </c:pt>
                <c:pt idx="2">
                  <c:v>0.205617382087971</c:v>
                </c:pt>
                <c:pt idx="3">
                  <c:v>0.0384722842146959</c:v>
                </c:pt>
                <c:pt idx="4">
                  <c:v>0.214812538414259</c:v>
                </c:pt>
                <c:pt idx="5">
                  <c:v>0.268835206888304</c:v>
                </c:pt>
                <c:pt idx="6">
                  <c:v>0.277230677409729</c:v>
                </c:pt>
                <c:pt idx="7">
                  <c:v>0.225310467179184</c:v>
                </c:pt>
                <c:pt idx="8">
                  <c:v>0.410582888905345</c:v>
                </c:pt>
                <c:pt idx="9">
                  <c:v>0.282174260591527</c:v>
                </c:pt>
              </c:numCache>
            </c:numRef>
          </c:val>
        </c:ser>
        <c:ser>
          <c:idx val="4"/>
          <c:order val="4"/>
          <c:tx>
            <c:strRef>
              <c:f>Sheet3!$O$14</c:f>
              <c:strCache>
                <c:ptCount val="1"/>
                <c:pt idx="0">
                  <c:v>卤代烃</c:v>
                </c:pt>
              </c:strCache>
            </c:strRef>
          </c:tx>
          <c:spPr>
            <a:solidFill>
              <a:schemeClr val="accent5"/>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Sheet3!$P$14:$Y$14</c:f>
              <c:numCache>
                <c:formatCode>0.00%</c:formatCode>
                <c:ptCount val="10"/>
                <c:pt idx="0">
                  <c:v>0.0132810799042021</c:v>
                </c:pt>
                <c:pt idx="1">
                  <c:v>0.0876530933200247</c:v>
                </c:pt>
                <c:pt idx="2">
                  <c:v>0.0381558028616852</c:v>
                </c:pt>
                <c:pt idx="3">
                  <c:v>0.0309464207810861</c:v>
                </c:pt>
                <c:pt idx="4">
                  <c:v>0.0230485556238476</c:v>
                </c:pt>
                <c:pt idx="5">
                  <c:v>0.0193733556565415</c:v>
                </c:pt>
                <c:pt idx="6">
                  <c:v>0.0244703073709341</c:v>
                </c:pt>
                <c:pt idx="7">
                  <c:v>0.024541691306919</c:v>
                </c:pt>
                <c:pt idx="8">
                  <c:v>0.248620221333518</c:v>
                </c:pt>
                <c:pt idx="9">
                  <c:v>0.0223820943245404</c:v>
                </c:pt>
              </c:numCache>
            </c:numRef>
          </c:val>
        </c:ser>
        <c:ser>
          <c:idx val="5"/>
          <c:order val="5"/>
          <c:tx>
            <c:strRef>
              <c:f>Sheet3!$O$15</c:f>
              <c:strCache>
                <c:ptCount val="1"/>
                <c:pt idx="0">
                  <c:v>其他</c:v>
                </c:pt>
              </c:strCache>
            </c:strRef>
          </c:tx>
          <c:spPr>
            <a:solidFill>
              <a:schemeClr val="accent6"/>
            </a:solidFill>
            <a:ln>
              <a:noFill/>
            </a:ln>
            <a:effectLst/>
          </c:spPr>
          <c:invertIfNegative val="0"/>
          <c:dLbls>
            <c:delete val="1"/>
          </c:dLbls>
          <c:cat>
            <c:strRef>
              <c:f>Sheet3!$P$1:$Y$1</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Sheet3!$P$15:$Y$15</c:f>
              <c:numCache>
                <c:formatCode>0.00%</c:formatCode>
                <c:ptCount val="10"/>
                <c:pt idx="0">
                  <c:v>0</c:v>
                </c:pt>
                <c:pt idx="1">
                  <c:v>0.0155896809423411</c:v>
                </c:pt>
                <c:pt idx="2">
                  <c:v>0.000529941706412518</c:v>
                </c:pt>
                <c:pt idx="3">
                  <c:v>0.0089073279642523</c:v>
                </c:pt>
                <c:pt idx="4">
                  <c:v>0</c:v>
                </c:pt>
                <c:pt idx="5">
                  <c:v>0.000239177230327403</c:v>
                </c:pt>
                <c:pt idx="6">
                  <c:v>0.000298418382572164</c:v>
                </c:pt>
                <c:pt idx="7">
                  <c:v>0</c:v>
                </c:pt>
                <c:pt idx="8">
                  <c:v>0.0835478967094111</c:v>
                </c:pt>
                <c:pt idx="9">
                  <c:v>0.00159872102318148</c:v>
                </c:pt>
              </c:numCache>
            </c:numRef>
          </c:val>
        </c:ser>
        <c:dLbls>
          <c:showLegendKey val="0"/>
          <c:showVal val="0"/>
          <c:showCatName val="0"/>
          <c:showSerName val="0"/>
          <c:showPercent val="0"/>
          <c:showBubbleSize val="0"/>
        </c:dLbls>
        <c:gapWidth val="150"/>
        <c:overlap val="100"/>
        <c:axId val="268171136"/>
        <c:axId val="268172672"/>
      </c:barChart>
      <c:catAx>
        <c:axId val="2681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68172672"/>
        <c:crosses val="autoZero"/>
        <c:auto val="1"/>
        <c:lblAlgn val="ctr"/>
        <c:lblOffset val="100"/>
        <c:noMultiLvlLbl val="0"/>
      </c:catAx>
      <c:valAx>
        <c:axId val="2681726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68171136"/>
        <c:crosses val="autoZero"/>
        <c:crossBetween val="between"/>
      </c:valAx>
      <c:spPr>
        <a:noFill/>
        <a:ln>
          <a:noFill/>
        </a:ln>
        <a:effectLst/>
      </c:spPr>
    </c:plotArea>
    <c:legend>
      <c:legendPos val="b"/>
      <c:layout>
        <c:manualLayout>
          <c:xMode val="edge"/>
          <c:yMode val="edge"/>
          <c:x val="0.839305046536894"/>
          <c:y val="0.111572026925352"/>
          <c:w val="0.144890990480271"/>
          <c:h val="0.724912387995445"/>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649449880647895"/>
          <c:y val="0.0509259259259259"/>
          <c:w val="0.752871181254041"/>
          <c:h val="0.855378390201225"/>
        </c:manualLayout>
      </c:layout>
      <c:barChart>
        <c:barDir val="col"/>
        <c:grouping val="percentStacked"/>
        <c:varyColors val="0"/>
        <c:ser>
          <c:idx val="0"/>
          <c:order val="0"/>
          <c:tx>
            <c:strRef>
              <c:f>[实测数据.xlsx]Sheet3!$O$17</c:f>
              <c:strCache>
                <c:ptCount val="1"/>
                <c:pt idx="0">
                  <c:v>苯</c:v>
                </c:pt>
              </c:strCache>
            </c:strRef>
          </c:tx>
          <c:spPr>
            <a:solidFill>
              <a:schemeClr val="accent1"/>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[实测数据.xlsx]Sheet3!$P$17:$Y$17</c:f>
              <c:numCache>
                <c:formatCode>0.00%</c:formatCode>
                <c:ptCount val="10"/>
                <c:pt idx="0">
                  <c:v>0.000653167864141085</c:v>
                </c:pt>
                <c:pt idx="1">
                  <c:v>0.00309701316798753</c:v>
                </c:pt>
                <c:pt idx="2">
                  <c:v>0.00158982511923688</c:v>
                </c:pt>
                <c:pt idx="3">
                  <c:v>0.00330742997416496</c:v>
                </c:pt>
                <c:pt idx="4">
                  <c:v>0.000921942224953904</c:v>
                </c:pt>
                <c:pt idx="5">
                  <c:v>0.000717531690983019</c:v>
                </c:pt>
                <c:pt idx="6">
                  <c:v>0.00119367353028947</c:v>
                </c:pt>
                <c:pt idx="7">
                  <c:v>0.000887049083382616</c:v>
                </c:pt>
                <c:pt idx="8">
                  <c:v>0.000378183813315317</c:v>
                </c:pt>
                <c:pt idx="9">
                  <c:v>0.00119904076738609</c:v>
                </c:pt>
              </c:numCache>
            </c:numRef>
          </c:val>
        </c:ser>
        <c:ser>
          <c:idx val="1"/>
          <c:order val="1"/>
          <c:tx>
            <c:strRef>
              <c:f>[实测数据.xlsx]Sheet3!$O$18</c:f>
              <c:strCache>
                <c:ptCount val="1"/>
                <c:pt idx="0">
                  <c:v>甲苯</c:v>
                </c:pt>
              </c:strCache>
            </c:strRef>
          </c:tx>
          <c:spPr>
            <a:solidFill>
              <a:schemeClr val="accent2"/>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[实测数据.xlsx]Sheet3!$P$18:$Y$18</c:f>
              <c:numCache>
                <c:formatCode>0.00%</c:formatCode>
                <c:ptCount val="10"/>
                <c:pt idx="0">
                  <c:v>0.00370128456346615</c:v>
                </c:pt>
                <c:pt idx="1">
                  <c:v>0.0635217840744966</c:v>
                </c:pt>
                <c:pt idx="2">
                  <c:v>0.00423953365129836</c:v>
                </c:pt>
                <c:pt idx="3">
                  <c:v>0.072879222511172</c:v>
                </c:pt>
                <c:pt idx="4">
                  <c:v>0.00522433927473878</c:v>
                </c:pt>
                <c:pt idx="5">
                  <c:v>0.00358765845491509</c:v>
                </c:pt>
                <c:pt idx="6">
                  <c:v>0.00417785735601313</c:v>
                </c:pt>
                <c:pt idx="7">
                  <c:v>0.00532229450029568</c:v>
                </c:pt>
                <c:pt idx="8">
                  <c:v>0.0640778910642793</c:v>
                </c:pt>
                <c:pt idx="9">
                  <c:v>0.00399680255795364</c:v>
                </c:pt>
              </c:numCache>
            </c:numRef>
          </c:val>
        </c:ser>
        <c:ser>
          <c:idx val="2"/>
          <c:order val="2"/>
          <c:tx>
            <c:strRef>
              <c:f>[实测数据.xlsx]Sheet3!$O$19</c:f>
              <c:strCache>
                <c:ptCount val="1"/>
                <c:pt idx="0">
                  <c:v>氯苯</c:v>
                </c:pt>
              </c:strCache>
            </c:strRef>
          </c:tx>
          <c:spPr>
            <a:solidFill>
              <a:schemeClr val="accent3"/>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[实测数据.xlsx]Sheet3!$P$19:$Y$19</c:f>
              <c:numCache>
                <c:formatCode>0.00%</c:formatCode>
                <c:ptCount val="10"/>
                <c:pt idx="0">
                  <c:v>0</c:v>
                </c:pt>
                <c:pt idx="1">
                  <c:v>1.51987324344009e-5</c:v>
                </c:pt>
                <c:pt idx="2">
                  <c:v>0</c:v>
                </c:pt>
                <c:pt idx="3">
                  <c:v>2.86273711472548e-5</c:v>
                </c:pt>
                <c:pt idx="4">
                  <c:v>0</c:v>
                </c:pt>
                <c:pt idx="5">
                  <c:v>0</c:v>
                </c:pt>
                <c:pt idx="6">
                  <c:v>0</c:v>
                </c:pt>
                <c:pt idx="7">
                  <c:v>0</c:v>
                </c:pt>
                <c:pt idx="8">
                  <c:v>7.07918816420472e-5</c:v>
                </c:pt>
                <c:pt idx="9">
                  <c:v>0</c:v>
                </c:pt>
              </c:numCache>
            </c:numRef>
          </c:val>
        </c:ser>
        <c:ser>
          <c:idx val="3"/>
          <c:order val="3"/>
          <c:tx>
            <c:strRef>
              <c:f>[实测数据.xlsx]Sheet3!$O$20</c:f>
              <c:strCache>
                <c:ptCount val="1"/>
                <c:pt idx="0">
                  <c:v>乙苯</c:v>
                </c:pt>
              </c:strCache>
            </c:strRef>
          </c:tx>
          <c:spPr>
            <a:solidFill>
              <a:schemeClr val="accent4"/>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[实测数据.xlsx]Sheet3!$P$20:$Y$20</c:f>
              <c:numCache>
                <c:formatCode>0.00%</c:formatCode>
                <c:ptCount val="10"/>
                <c:pt idx="0">
                  <c:v>0.056607881558894</c:v>
                </c:pt>
                <c:pt idx="1">
                  <c:v>0.0951949298300301</c:v>
                </c:pt>
                <c:pt idx="2">
                  <c:v>0.0498145204027557</c:v>
                </c:pt>
                <c:pt idx="3">
                  <c:v>0.095781321458783</c:v>
                </c:pt>
                <c:pt idx="4">
                  <c:v>0.0743700061462816</c:v>
                </c:pt>
                <c:pt idx="5">
                  <c:v>0.0502272183688113</c:v>
                </c:pt>
                <c:pt idx="6">
                  <c:v>0.0519247985675918</c:v>
                </c:pt>
                <c:pt idx="7">
                  <c:v>0.0730337078651686</c:v>
                </c:pt>
                <c:pt idx="8">
                  <c:v>0.0239653381406733</c:v>
                </c:pt>
                <c:pt idx="9">
                  <c:v>0.0463629096722622</c:v>
                </c:pt>
              </c:numCache>
            </c:numRef>
          </c:val>
        </c:ser>
        <c:ser>
          <c:idx val="4"/>
          <c:order val="4"/>
          <c:tx>
            <c:strRef>
              <c:f>[实测数据.xlsx]Sheet3!$O$21</c:f>
              <c:strCache>
                <c:ptCount val="1"/>
                <c:pt idx="0">
                  <c:v>对-二甲苯</c:v>
                </c:pt>
              </c:strCache>
            </c:strRef>
          </c:tx>
          <c:spPr>
            <a:solidFill>
              <a:schemeClr val="accent5"/>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[实测数据.xlsx]Sheet3!$P$21:$Y$21</c:f>
              <c:numCache>
                <c:formatCode>0.00%</c:formatCode>
                <c:ptCount val="10"/>
                <c:pt idx="0">
                  <c:v>0.202482037883736</c:v>
                </c:pt>
                <c:pt idx="1">
                  <c:v>0.151028312937906</c:v>
                </c:pt>
                <c:pt idx="2">
                  <c:v>0.192898781134075</c:v>
                </c:pt>
                <c:pt idx="3">
                  <c:v>0.173061005708687</c:v>
                </c:pt>
                <c:pt idx="4">
                  <c:v>0.25261216963737</c:v>
                </c:pt>
                <c:pt idx="5">
                  <c:v>0.192298493183449</c:v>
                </c:pt>
                <c:pt idx="6">
                  <c:v>0.186511489107729</c:v>
                </c:pt>
                <c:pt idx="7">
                  <c:v>0.245712596096984</c:v>
                </c:pt>
                <c:pt idx="8">
                  <c:v>0.0620829152602575</c:v>
                </c:pt>
                <c:pt idx="9">
                  <c:v>0.181454836131095</c:v>
                </c:pt>
              </c:numCache>
            </c:numRef>
          </c:val>
        </c:ser>
        <c:ser>
          <c:idx val="5"/>
          <c:order val="5"/>
          <c:tx>
            <c:strRef>
              <c:f>[实测数据.xlsx]Sheet3!$O$22</c:f>
              <c:strCache>
                <c:ptCount val="1"/>
                <c:pt idx="0">
                  <c:v>间-二甲苯</c:v>
                </c:pt>
              </c:strCache>
            </c:strRef>
          </c:tx>
          <c:spPr>
            <a:solidFill>
              <a:schemeClr val="accent6"/>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[实测数据.xlsx]Sheet3!$P$22:$Y$22</c:f>
              <c:numCache>
                <c:formatCode>0.00%</c:formatCode>
                <c:ptCount val="10"/>
                <c:pt idx="0">
                  <c:v>0.185717396037449</c:v>
                </c:pt>
                <c:pt idx="1">
                  <c:v>0.0913967227508899</c:v>
                </c:pt>
                <c:pt idx="2">
                  <c:v>0.171701112877583</c:v>
                </c:pt>
                <c:pt idx="3">
                  <c:v>0.0741709505911499</c:v>
                </c:pt>
                <c:pt idx="4">
                  <c:v>0.229563614013522</c:v>
                </c:pt>
                <c:pt idx="5">
                  <c:v>0.176991150442478</c:v>
                </c:pt>
                <c:pt idx="6">
                  <c:v>0.169203222918532</c:v>
                </c:pt>
                <c:pt idx="7">
                  <c:v>0.223832052040213</c:v>
                </c:pt>
                <c:pt idx="8">
                  <c:v>0.0352508110523191</c:v>
                </c:pt>
                <c:pt idx="9">
                  <c:v>0.16466826538769</c:v>
                </c:pt>
              </c:numCache>
            </c:numRef>
          </c:val>
        </c:ser>
        <c:ser>
          <c:idx val="6"/>
          <c:order val="6"/>
          <c:tx>
            <c:strRef>
              <c:f>[实测数据.xlsx]Sheet3!$O$23</c:f>
              <c:strCache>
                <c:ptCount val="1"/>
                <c:pt idx="0">
                  <c:v>邻-二甲苯</c:v>
                </c:pt>
              </c:strCache>
            </c:strRef>
          </c:tx>
          <c:spPr>
            <a:solidFill>
              <a:schemeClr val="accent1">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[实测数据.xlsx]Sheet3!$P$23:$Y$23</c:f>
              <c:numCache>
                <c:formatCode>0.00%</c:formatCode>
                <c:ptCount val="10"/>
                <c:pt idx="0">
                  <c:v>0.0897017200087089</c:v>
                </c:pt>
                <c:pt idx="1">
                  <c:v>0.114621108496392</c:v>
                </c:pt>
                <c:pt idx="2">
                  <c:v>0.0741918388977213</c:v>
                </c:pt>
                <c:pt idx="3">
                  <c:v>0.1228861454713</c:v>
                </c:pt>
                <c:pt idx="4">
                  <c:v>0.102950215119852</c:v>
                </c:pt>
                <c:pt idx="5">
                  <c:v>0.0801243721597706</c:v>
                </c:pt>
                <c:pt idx="6">
                  <c:v>0.0775887794688153</c:v>
                </c:pt>
                <c:pt idx="7">
                  <c:v>0.100827912477824</c:v>
                </c:pt>
                <c:pt idx="8">
                  <c:v>0.0324236679831899</c:v>
                </c:pt>
                <c:pt idx="9">
                  <c:v>0.0687450039968026</c:v>
                </c:pt>
              </c:numCache>
            </c:numRef>
          </c:val>
        </c:ser>
        <c:ser>
          <c:idx val="7"/>
          <c:order val="7"/>
          <c:tx>
            <c:strRef>
              <c:f>[实测数据.xlsx]Sheet3!$O$24</c:f>
              <c:strCache>
                <c:ptCount val="1"/>
                <c:pt idx="0">
                  <c:v>苯乙烯</c:v>
                </c:pt>
              </c:strCache>
            </c:strRef>
          </c:tx>
          <c:spPr>
            <a:solidFill>
              <a:schemeClr val="accent2">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[实测数据.xlsx]Sheet3!$P$24:$Y$24</c:f>
              <c:numCache>
                <c:formatCode>0.00%</c:formatCode>
                <c:ptCount val="10"/>
                <c:pt idx="0">
                  <c:v>0.000870890485521446</c:v>
                </c:pt>
                <c:pt idx="1">
                  <c:v>0.00165651279714853</c:v>
                </c:pt>
                <c:pt idx="2">
                  <c:v>0.00741918388977213</c:v>
                </c:pt>
                <c:pt idx="3">
                  <c:v>0.00114497867875103</c:v>
                </c:pt>
                <c:pt idx="4">
                  <c:v>0.000921942224953904</c:v>
                </c:pt>
                <c:pt idx="5">
                  <c:v>0.00980626644343459</c:v>
                </c:pt>
                <c:pt idx="6">
                  <c:v>0.0080572963294539</c:v>
                </c:pt>
                <c:pt idx="7">
                  <c:v>0.000887049083382616</c:v>
                </c:pt>
                <c:pt idx="8">
                  <c:v>0.00118583202995907</c:v>
                </c:pt>
                <c:pt idx="9">
                  <c:v>0.00719424460431655</c:v>
                </c:pt>
              </c:numCache>
            </c:numRef>
          </c:val>
        </c:ser>
        <c:ser>
          <c:idx val="8"/>
          <c:order val="8"/>
          <c:tx>
            <c:strRef>
              <c:f>[实测数据.xlsx]Sheet3!$O$25</c:f>
              <c:strCache>
                <c:ptCount val="1"/>
                <c:pt idx="0">
                  <c:v>异丙苯</c:v>
                </c:pt>
              </c:strCache>
            </c:strRef>
          </c:tx>
          <c:spPr>
            <a:solidFill>
              <a:schemeClr val="accent3">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[实测数据.xlsx]Sheet3!$P$25:$Y$25</c:f>
              <c:numCache>
                <c:formatCode>0.00%</c:formatCode>
                <c:ptCount val="10"/>
                <c:pt idx="0">
                  <c:v>0.000435445242760723</c:v>
                </c:pt>
                <c:pt idx="1">
                  <c:v>0.00228441083654895</c:v>
                </c:pt>
                <c:pt idx="2">
                  <c:v>0.000529941706412295</c:v>
                </c:pt>
                <c:pt idx="3">
                  <c:v>0.00398950785709989</c:v>
                </c:pt>
                <c:pt idx="4">
                  <c:v>0.000307314074984635</c:v>
                </c:pt>
                <c:pt idx="5">
                  <c:v>0.000239177230327673</c:v>
                </c:pt>
                <c:pt idx="6">
                  <c:v>0.000298418382572367</c:v>
                </c:pt>
                <c:pt idx="7">
                  <c:v>0.000295683027794205</c:v>
                </c:pt>
                <c:pt idx="8">
                  <c:v>0.00127433463302964</c:v>
                </c:pt>
                <c:pt idx="9">
                  <c:v>0.000399680255795364</c:v>
                </c:pt>
              </c:numCache>
            </c:numRef>
          </c:val>
        </c:ser>
        <c:ser>
          <c:idx val="9"/>
          <c:order val="9"/>
          <c:tx>
            <c:strRef>
              <c:f>[实测数据.xlsx]Sheet3!$O$26</c:f>
              <c:strCache>
                <c:ptCount val="1"/>
                <c:pt idx="0">
                  <c:v>正丙苯</c:v>
                </c:pt>
              </c:strCache>
            </c:strRef>
          </c:tx>
          <c:spPr>
            <a:solidFill>
              <a:schemeClr val="accent4">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[实测数据.xlsx]Sheet3!$P$26:$Y$26</c:f>
              <c:numCache>
                <c:formatCode>0.00%</c:formatCode>
                <c:ptCount val="10"/>
                <c:pt idx="0">
                  <c:v>0</c:v>
                </c:pt>
                <c:pt idx="1">
                  <c:v>0.0139967714720843</c:v>
                </c:pt>
                <c:pt idx="2">
                  <c:v>0</c:v>
                </c:pt>
                <c:pt idx="3">
                  <c:v>0.0204255165556801</c:v>
                </c:pt>
                <c:pt idx="4">
                  <c:v>0</c:v>
                </c:pt>
                <c:pt idx="5">
                  <c:v>0</c:v>
                </c:pt>
                <c:pt idx="6">
                  <c:v>0</c:v>
                </c:pt>
                <c:pt idx="7">
                  <c:v>0</c:v>
                </c:pt>
                <c:pt idx="8">
                  <c:v>0.00302463420834912</c:v>
                </c:pt>
                <c:pt idx="9">
                  <c:v>0</c:v>
                </c:pt>
              </c:numCache>
            </c:numRef>
          </c:val>
        </c:ser>
        <c:ser>
          <c:idx val="10"/>
          <c:order val="10"/>
          <c:tx>
            <c:strRef>
              <c:f>[实测数据.xlsx]Sheet3!$O$27</c:f>
              <c:strCache>
                <c:ptCount val="1"/>
                <c:pt idx="0">
                  <c:v>1-乙基-3-甲基苯</c:v>
                </c:pt>
              </c:strCache>
            </c:strRef>
          </c:tx>
          <c:spPr>
            <a:solidFill>
              <a:schemeClr val="accent5">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[实测数据.xlsx]Sheet3!$P$27:$Y$27</c:f>
              <c:numCache>
                <c:formatCode>0.00%</c:formatCode>
                <c:ptCount val="10"/>
                <c:pt idx="0">
                  <c:v>0</c:v>
                </c:pt>
                <c:pt idx="1">
                  <c:v>0.0328797386777027</c:v>
                </c:pt>
                <c:pt idx="2">
                  <c:v>0</c:v>
                </c:pt>
                <c:pt idx="3">
                  <c:v>0.0402824707263627</c:v>
                </c:pt>
                <c:pt idx="4">
                  <c:v>0</c:v>
                </c:pt>
                <c:pt idx="5">
                  <c:v>0</c:v>
                </c:pt>
                <c:pt idx="6">
                  <c:v>0</c:v>
                </c:pt>
                <c:pt idx="7">
                  <c:v>0</c:v>
                </c:pt>
                <c:pt idx="8">
                  <c:v>0.00124050333696161</c:v>
                </c:pt>
                <c:pt idx="9">
                  <c:v>0</c:v>
                </c:pt>
              </c:numCache>
            </c:numRef>
          </c:val>
        </c:ser>
        <c:ser>
          <c:idx val="11"/>
          <c:order val="11"/>
          <c:tx>
            <c:strRef>
              <c:f>[实测数据.xlsx]Sheet3!$O$28</c:f>
              <c:strCache>
                <c:ptCount val="1"/>
                <c:pt idx="0">
                  <c:v>对乙基甲苯</c:v>
                </c:pt>
              </c:strCache>
            </c:strRef>
          </c:tx>
          <c:spPr>
            <a:solidFill>
              <a:schemeClr val="accent6">
                <a:lumMod val="6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[实测数据.xlsx]Sheet3!$P$28:$Y$28</c:f>
              <c:numCache>
                <c:formatCode>0.00%</c:formatCode>
                <c:ptCount val="10"/>
                <c:pt idx="0">
                  <c:v>0</c:v>
                </c:pt>
                <c:pt idx="1">
                  <c:v>0.0390464429744345</c:v>
                </c:pt>
                <c:pt idx="2">
                  <c:v>0</c:v>
                </c:pt>
                <c:pt idx="3">
                  <c:v>0.0444960548934069</c:v>
                </c:pt>
                <c:pt idx="4">
                  <c:v>0</c:v>
                </c:pt>
                <c:pt idx="5">
                  <c:v>0</c:v>
                </c:pt>
                <c:pt idx="6">
                  <c:v>0</c:v>
                </c:pt>
                <c:pt idx="7">
                  <c:v>0</c:v>
                </c:pt>
                <c:pt idx="8">
                  <c:v>0.00408860444297715</c:v>
                </c:pt>
                <c:pt idx="9">
                  <c:v>0</c:v>
                </c:pt>
              </c:numCache>
            </c:numRef>
          </c:val>
        </c:ser>
        <c:ser>
          <c:idx val="12"/>
          <c:order val="12"/>
          <c:tx>
            <c:strRef>
              <c:f>[实测数据.xlsx]Sheet3!$O$29</c:f>
              <c:strCache>
                <c:ptCount val="1"/>
                <c:pt idx="0">
                  <c:v>1,2,5-三甲苯</c:v>
                </c:pt>
              </c:strCache>
            </c:strRef>
          </c:tx>
          <c:spPr>
            <a:solidFill>
              <a:schemeClr val="accent1">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[实测数据.xlsx]Sheet3!$P$29:$Y$29</c:f>
              <c:numCache>
                <c:formatCode>0.00%</c:formatCode>
                <c:ptCount val="10"/>
                <c:pt idx="0">
                  <c:v>0</c:v>
                </c:pt>
                <c:pt idx="1">
                  <c:v>0.0765982634105127</c:v>
                </c:pt>
                <c:pt idx="2">
                  <c:v>0.000529941706412295</c:v>
                </c:pt>
                <c:pt idx="3">
                  <c:v>0.0875710826302083</c:v>
                </c:pt>
                <c:pt idx="4">
                  <c:v>0.000307314074984635</c:v>
                </c:pt>
                <c:pt idx="5">
                  <c:v>0</c:v>
                </c:pt>
                <c:pt idx="6">
                  <c:v>0.000298418382572367</c:v>
                </c:pt>
                <c:pt idx="7">
                  <c:v>0.00059136605558841</c:v>
                </c:pt>
                <c:pt idx="8">
                  <c:v>0.000554529760210888</c:v>
                </c:pt>
                <c:pt idx="9">
                  <c:v>0</c:v>
                </c:pt>
              </c:numCache>
            </c:numRef>
          </c:val>
        </c:ser>
        <c:ser>
          <c:idx val="13"/>
          <c:order val="13"/>
          <c:tx>
            <c:strRef>
              <c:f>[实测数据.xlsx]Sheet3!$O$30</c:f>
              <c:strCache>
                <c:ptCount val="1"/>
                <c:pt idx="0">
                  <c:v>1-乙基-2-甲基苯</c:v>
                </c:pt>
              </c:strCache>
            </c:strRef>
          </c:tx>
          <c:spPr>
            <a:solidFill>
              <a:schemeClr val="accent2">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[实测数据.xlsx]Sheet3!$P$30:$Y$30</c:f>
              <c:numCache>
                <c:formatCode>0.00%</c:formatCode>
                <c:ptCount val="10"/>
                <c:pt idx="0">
                  <c:v>0</c:v>
                </c:pt>
                <c:pt idx="1">
                  <c:v>0.0390464429744345</c:v>
                </c:pt>
                <c:pt idx="2">
                  <c:v>0</c:v>
                </c:pt>
                <c:pt idx="3">
                  <c:v>0.0444960548934069</c:v>
                </c:pt>
                <c:pt idx="4">
                  <c:v>0</c:v>
                </c:pt>
                <c:pt idx="5">
                  <c:v>0</c:v>
                </c:pt>
                <c:pt idx="6">
                  <c:v>0</c:v>
                </c:pt>
                <c:pt idx="7">
                  <c:v>0</c:v>
                </c:pt>
                <c:pt idx="8">
                  <c:v>0.00408860444297715</c:v>
                </c:pt>
                <c:pt idx="9">
                  <c:v>0</c:v>
                </c:pt>
              </c:numCache>
            </c:numRef>
          </c:val>
        </c:ser>
        <c:ser>
          <c:idx val="14"/>
          <c:order val="14"/>
          <c:tx>
            <c:strRef>
              <c:f>[实测数据.xlsx]Sheet3!$O$31</c:f>
              <c:strCache>
                <c:ptCount val="1"/>
                <c:pt idx="0">
                  <c:v>1,2,4-三甲苯</c:v>
                </c:pt>
              </c:strCache>
            </c:strRef>
          </c:tx>
          <c:spPr>
            <a:solidFill>
              <a:schemeClr val="accent3">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[实测数据.xlsx]Sheet3!$P$31:$Y$31</c:f>
              <c:numCache>
                <c:formatCode>0.00%</c:formatCode>
                <c:ptCount val="10"/>
                <c:pt idx="0">
                  <c:v>0</c:v>
                </c:pt>
                <c:pt idx="1">
                  <c:v>0.026210988647932</c:v>
                </c:pt>
                <c:pt idx="2">
                  <c:v>0</c:v>
                </c:pt>
                <c:pt idx="3">
                  <c:v>0.0351276801948851</c:v>
                </c:pt>
                <c:pt idx="4">
                  <c:v>0</c:v>
                </c:pt>
                <c:pt idx="5">
                  <c:v>0</c:v>
                </c:pt>
                <c:pt idx="6">
                  <c:v>0</c:v>
                </c:pt>
                <c:pt idx="7">
                  <c:v>0</c:v>
                </c:pt>
                <c:pt idx="8">
                  <c:v>0.00021928968949237</c:v>
                </c:pt>
                <c:pt idx="9">
                  <c:v>0</c:v>
                </c:pt>
              </c:numCache>
            </c:numRef>
          </c:val>
        </c:ser>
        <c:ser>
          <c:idx val="15"/>
          <c:order val="15"/>
          <c:tx>
            <c:strRef>
              <c:f>[实测数据.xlsx]Sheet3!$O$32</c:f>
              <c:strCache>
                <c:ptCount val="1"/>
                <c:pt idx="0">
                  <c:v>1,2,3-三甲苯</c:v>
                </c:pt>
              </c:strCache>
            </c:strRef>
          </c:tx>
          <c:spPr>
            <a:solidFill>
              <a:schemeClr val="accent4">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[实测数据.xlsx]Sheet3!$P$32:$Y$32</c:f>
              <c:numCache>
                <c:formatCode>0.00%</c:formatCode>
                <c:ptCount val="10"/>
                <c:pt idx="0">
                  <c:v>0</c:v>
                </c:pt>
                <c:pt idx="1">
                  <c:v>0.0443438393129123</c:v>
                </c:pt>
                <c:pt idx="2">
                  <c:v>0</c:v>
                </c:pt>
                <c:pt idx="3">
                  <c:v>0.0547520980574459</c:v>
                </c:pt>
                <c:pt idx="4">
                  <c:v>0</c:v>
                </c:pt>
                <c:pt idx="5">
                  <c:v>0</c:v>
                </c:pt>
                <c:pt idx="6">
                  <c:v>0</c:v>
                </c:pt>
                <c:pt idx="7">
                  <c:v>0</c:v>
                </c:pt>
                <c:pt idx="8">
                  <c:v>0.000252373206850902</c:v>
                </c:pt>
                <c:pt idx="9">
                  <c:v>0</c:v>
                </c:pt>
              </c:numCache>
            </c:numRef>
          </c:val>
        </c:ser>
        <c:ser>
          <c:idx val="16"/>
          <c:order val="16"/>
          <c:tx>
            <c:strRef>
              <c:f>[实测数据.xlsx]Sheet3!$O$33</c:f>
              <c:strCache>
                <c:ptCount val="1"/>
                <c:pt idx="0">
                  <c:v>1,3-二乙基苯</c:v>
                </c:pt>
              </c:strCache>
            </c:strRef>
          </c:tx>
          <c:spPr>
            <a:solidFill>
              <a:schemeClr val="accent5">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[实测数据.xlsx]Sheet3!$P$33:$Y$33</c:f>
              <c:numCache>
                <c:formatCode>0.00%</c:formatCode>
                <c:ptCount val="10"/>
                <c:pt idx="0">
                  <c:v>0</c:v>
                </c:pt>
                <c:pt idx="1">
                  <c:v>0.00462230449967775</c:v>
                </c:pt>
                <c:pt idx="2">
                  <c:v>0</c:v>
                </c:pt>
                <c:pt idx="3">
                  <c:v>0.00844143668922372</c:v>
                </c:pt>
                <c:pt idx="4">
                  <c:v>0</c:v>
                </c:pt>
                <c:pt idx="5">
                  <c:v>0</c:v>
                </c:pt>
                <c:pt idx="6">
                  <c:v>0</c:v>
                </c:pt>
                <c:pt idx="7">
                  <c:v>0</c:v>
                </c:pt>
                <c:pt idx="8">
                  <c:v>0.000155152701147893</c:v>
                </c:pt>
                <c:pt idx="9">
                  <c:v>0</c:v>
                </c:pt>
              </c:numCache>
            </c:numRef>
          </c:val>
        </c:ser>
        <c:ser>
          <c:idx val="17"/>
          <c:order val="17"/>
          <c:tx>
            <c:strRef>
              <c:f>[实测数据.xlsx]Sheet3!$O$34</c:f>
              <c:strCache>
                <c:ptCount val="1"/>
                <c:pt idx="0">
                  <c:v>对二乙基苯</c:v>
                </c:pt>
              </c:strCache>
            </c:strRef>
          </c:tx>
          <c:spPr>
            <a:solidFill>
              <a:schemeClr val="accent6">
                <a:lumMod val="80000"/>
                <a:lumOff val="20000"/>
              </a:schemeClr>
            </a:solidFill>
            <a:ln>
              <a:noFill/>
            </a:ln>
            <a:effectLst/>
          </c:spPr>
          <c:invertIfNegative val="0"/>
          <c:dLbls>
            <c:delete val="1"/>
          </c:dLbls>
          <c:cat>
            <c:strRef>
              <c:f>[实测数据.xlsx]Sheet3!$P$16:$Y$16</c:f>
              <c:strCache>
                <c:ptCount val="10"/>
                <c:pt idx="0">
                  <c:v>企业1</c:v>
                </c:pt>
                <c:pt idx="1">
                  <c:v>企业2</c:v>
                </c:pt>
                <c:pt idx="2">
                  <c:v>企业3</c:v>
                </c:pt>
                <c:pt idx="3">
                  <c:v>企业4</c:v>
                </c:pt>
                <c:pt idx="4">
                  <c:v>企业5</c:v>
                </c:pt>
                <c:pt idx="5">
                  <c:v>企业6</c:v>
                </c:pt>
                <c:pt idx="6">
                  <c:v>企业7</c:v>
                </c:pt>
                <c:pt idx="7">
                  <c:v>企业8</c:v>
                </c:pt>
                <c:pt idx="8">
                  <c:v>企业9</c:v>
                </c:pt>
                <c:pt idx="9">
                  <c:v>企业10</c:v>
                </c:pt>
              </c:strCache>
            </c:strRef>
          </c:cat>
          <c:val>
            <c:numRef>
              <c:f>[实测数据.xlsx]Sheet3!$P$34:$Y$34</c:f>
              <c:numCache>
                <c:formatCode>0.00%</c:formatCode>
                <c:ptCount val="10"/>
                <c:pt idx="0">
                  <c:v>0</c:v>
                </c:pt>
                <c:pt idx="1">
                  <c:v>0.0156665929989501</c:v>
                </c:pt>
                <c:pt idx="2">
                  <c:v>0</c:v>
                </c:pt>
                <c:pt idx="3">
                  <c:v>0.0274318597629703</c:v>
                </c:pt>
                <c:pt idx="4">
                  <c:v>0</c:v>
                </c:pt>
                <c:pt idx="5">
                  <c:v>0</c:v>
                </c:pt>
                <c:pt idx="6">
                  <c:v>0</c:v>
                </c:pt>
                <c:pt idx="7">
                  <c:v>0</c:v>
                </c:pt>
                <c:pt idx="8">
                  <c:v>0.000138129143672143</c:v>
                </c:pt>
                <c:pt idx="9">
                  <c:v>0</c:v>
                </c:pt>
              </c:numCache>
            </c:numRef>
          </c:val>
        </c:ser>
        <c:dLbls>
          <c:showLegendKey val="0"/>
          <c:showVal val="0"/>
          <c:showCatName val="0"/>
          <c:showSerName val="0"/>
          <c:showPercent val="0"/>
          <c:showBubbleSize val="0"/>
        </c:dLbls>
        <c:gapWidth val="150"/>
        <c:overlap val="100"/>
        <c:axId val="282907008"/>
        <c:axId val="282908544"/>
      </c:barChart>
      <c:catAx>
        <c:axId val="2829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82908544"/>
        <c:crosses val="autoZero"/>
        <c:auto val="1"/>
        <c:lblAlgn val="ctr"/>
        <c:lblOffset val="100"/>
        <c:noMultiLvlLbl val="0"/>
      </c:catAx>
      <c:valAx>
        <c:axId val="2829085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82907008"/>
        <c:crosses val="autoZero"/>
        <c:crossBetween val="between"/>
      </c:valAx>
      <c:spPr>
        <a:noFill/>
        <a:ln>
          <a:noFill/>
        </a:ln>
        <a:effectLst/>
      </c:spPr>
    </c:plotArea>
    <c:legend>
      <c:legendPos val="b"/>
      <c:legendEntry>
        <c:idx val="2"/>
        <c:delete val="1"/>
      </c:legendEntry>
      <c:layout>
        <c:manualLayout>
          <c:xMode val="edge"/>
          <c:yMode val="edge"/>
          <c:x val="0.808556190288398"/>
          <c:y val="0.00192111402741324"/>
          <c:w val="0.184563288847262"/>
          <c:h val="0.998078885972587"/>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8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重庆市民用车辆拥有量（万辆）</c:v>
                </c:pt>
              </c:strCache>
            </c:strRef>
          </c:tx>
          <c:spPr>
            <a:solidFill>
              <a:schemeClr val="accent1"/>
            </a:solidFill>
            <a:ln>
              <a:noFill/>
            </a:ln>
            <a:effectLst/>
          </c:spPr>
          <c:invertIfNegative val="0"/>
          <c:dLbls>
            <c:delete val="1"/>
          </c:dLbls>
          <c:cat>
            <c:strRef>
              <c:f>Sheet1!$A$2:$A$16</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Sheet1!$B$2:$B$16</c:f>
              <c:numCache>
                <c:formatCode>General</c:formatCode>
                <c:ptCount val="15"/>
                <c:pt idx="0">
                  <c:v>275.97</c:v>
                </c:pt>
                <c:pt idx="1">
                  <c:v>337.91</c:v>
                </c:pt>
                <c:pt idx="2">
                  <c:v>389.86</c:v>
                </c:pt>
                <c:pt idx="3">
                  <c:v>407.62</c:v>
                </c:pt>
                <c:pt idx="4">
                  <c:v>441.07</c:v>
                </c:pt>
                <c:pt idx="5">
                  <c:v>462.32</c:v>
                </c:pt>
                <c:pt idx="6">
                  <c:v>510.25</c:v>
                </c:pt>
                <c:pt idx="7">
                  <c:v>567.5</c:v>
                </c:pt>
                <c:pt idx="8">
                  <c:v>631.72</c:v>
                </c:pt>
                <c:pt idx="9">
                  <c:v>653.95</c:v>
                </c:pt>
                <c:pt idx="10">
                  <c:v>764.88</c:v>
                </c:pt>
                <c:pt idx="11">
                  <c:v>837.09</c:v>
                </c:pt>
                <c:pt idx="12">
                  <c:v>891.36</c:v>
                </c:pt>
                <c:pt idx="13">
                  <c:v>928.96</c:v>
                </c:pt>
                <c:pt idx="14">
                  <c:v>955.99</c:v>
                </c:pt>
              </c:numCache>
            </c:numRef>
          </c:val>
        </c:ser>
        <c:dLbls>
          <c:showLegendKey val="0"/>
          <c:showVal val="0"/>
          <c:showCatName val="0"/>
          <c:showSerName val="0"/>
          <c:showPercent val="0"/>
          <c:showBubbleSize val="0"/>
        </c:dLbls>
        <c:gapWidth val="219"/>
        <c:overlap val="-27"/>
        <c:axId val="1618908991"/>
        <c:axId val="1618910911"/>
      </c:barChart>
      <c:catAx>
        <c:axId val="161890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18910911"/>
        <c:crosses val="autoZero"/>
        <c:auto val="1"/>
        <c:lblAlgn val="ctr"/>
        <c:lblOffset val="100"/>
        <c:noMultiLvlLbl val="0"/>
      </c:catAx>
      <c:valAx>
        <c:axId val="161891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18908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02013912720337"/>
          <c:y val="0.0467786519243037"/>
          <c:w val="0.893311731771549"/>
          <c:h val="0.740286732710399"/>
        </c:manualLayout>
      </c:layout>
      <c:barChart>
        <c:barDir val="col"/>
        <c:grouping val="stacked"/>
        <c:varyColors val="0"/>
        <c:ser>
          <c:idx val="0"/>
          <c:order val="0"/>
          <c:tx>
            <c:strRef>
              <c:f>作图!$E$1</c:f>
              <c:strCache>
                <c:ptCount val="1"/>
                <c:pt idx="0">
                  <c:v>4s店</c:v>
                </c:pt>
              </c:strCache>
            </c:strRef>
          </c:tx>
          <c:spPr>
            <a:solidFill>
              <a:schemeClr val="accent1"/>
            </a:solidFill>
            <a:ln>
              <a:noFill/>
            </a:ln>
            <a:effectLst/>
          </c:spPr>
          <c:invertIfNegative val="0"/>
          <c:dLbls>
            <c:delete val="1"/>
          </c:dLbls>
          <c:cat>
            <c:strRef>
              <c:f>作图!$A$2:$A$39</c:f>
              <c:strCache>
                <c:ptCount val="38"/>
                <c:pt idx="0">
                  <c:v>渝北区</c:v>
                </c:pt>
                <c:pt idx="1">
                  <c:v>九龙坡区</c:v>
                </c:pt>
                <c:pt idx="2">
                  <c:v>江津区</c:v>
                </c:pt>
                <c:pt idx="3">
                  <c:v>万州区</c:v>
                </c:pt>
                <c:pt idx="4">
                  <c:v>南岸区</c:v>
                </c:pt>
                <c:pt idx="5">
                  <c:v>沙坪坝区</c:v>
                </c:pt>
                <c:pt idx="6">
                  <c:v>巴南区</c:v>
                </c:pt>
                <c:pt idx="7">
                  <c:v>永川区</c:v>
                </c:pt>
                <c:pt idx="8">
                  <c:v>涪陵区</c:v>
                </c:pt>
                <c:pt idx="9">
                  <c:v>开州区</c:v>
                </c:pt>
                <c:pt idx="10">
                  <c:v>江北区</c:v>
                </c:pt>
                <c:pt idx="11">
                  <c:v>大足区</c:v>
                </c:pt>
                <c:pt idx="12">
                  <c:v>北碚区</c:v>
                </c:pt>
                <c:pt idx="13">
                  <c:v>合川区</c:v>
                </c:pt>
                <c:pt idx="14">
                  <c:v>璧山区</c:v>
                </c:pt>
                <c:pt idx="15">
                  <c:v>铜梁区</c:v>
                </c:pt>
                <c:pt idx="16">
                  <c:v>綦江区</c:v>
                </c:pt>
                <c:pt idx="17">
                  <c:v>潼南区</c:v>
                </c:pt>
                <c:pt idx="18">
                  <c:v>长寿区</c:v>
                </c:pt>
                <c:pt idx="19">
                  <c:v>荣昌区</c:v>
                </c:pt>
                <c:pt idx="20">
                  <c:v>黔江区</c:v>
                </c:pt>
                <c:pt idx="21">
                  <c:v>南川区</c:v>
                </c:pt>
                <c:pt idx="22">
                  <c:v>垫江县</c:v>
                </c:pt>
                <c:pt idx="23">
                  <c:v>云阳县</c:v>
                </c:pt>
                <c:pt idx="24">
                  <c:v>秀山县</c:v>
                </c:pt>
                <c:pt idx="25">
                  <c:v>酉阳县</c:v>
                </c:pt>
                <c:pt idx="26">
                  <c:v>奉节县</c:v>
                </c:pt>
                <c:pt idx="27">
                  <c:v>忠县</c:v>
                </c:pt>
                <c:pt idx="28">
                  <c:v>彭水县</c:v>
                </c:pt>
                <c:pt idx="29">
                  <c:v>梁平区</c:v>
                </c:pt>
                <c:pt idx="30">
                  <c:v>丰都县</c:v>
                </c:pt>
                <c:pt idx="31">
                  <c:v>巫山县</c:v>
                </c:pt>
                <c:pt idx="32">
                  <c:v>石柱县</c:v>
                </c:pt>
                <c:pt idx="33">
                  <c:v>巫溪县</c:v>
                </c:pt>
                <c:pt idx="34">
                  <c:v>大渡口区</c:v>
                </c:pt>
                <c:pt idx="35">
                  <c:v>武隆区</c:v>
                </c:pt>
                <c:pt idx="36">
                  <c:v>渝中区</c:v>
                </c:pt>
                <c:pt idx="37">
                  <c:v>城口县</c:v>
                </c:pt>
              </c:strCache>
            </c:strRef>
          </c:cat>
          <c:val>
            <c:numRef>
              <c:f>作图!$E$2:$E$39</c:f>
              <c:numCache>
                <c:formatCode>General</c:formatCode>
                <c:ptCount val="38"/>
                <c:pt idx="0">
                  <c:v>15.2</c:v>
                </c:pt>
                <c:pt idx="1">
                  <c:v>6.88</c:v>
                </c:pt>
                <c:pt idx="2">
                  <c:v>2.72</c:v>
                </c:pt>
                <c:pt idx="3">
                  <c:v>6.08</c:v>
                </c:pt>
                <c:pt idx="4">
                  <c:v>6.08</c:v>
                </c:pt>
                <c:pt idx="5">
                  <c:v>2.24</c:v>
                </c:pt>
                <c:pt idx="6">
                  <c:v>4.64</c:v>
                </c:pt>
                <c:pt idx="7">
                  <c:v>3.52</c:v>
                </c:pt>
                <c:pt idx="8">
                  <c:v>3.68</c:v>
                </c:pt>
                <c:pt idx="9">
                  <c:v>0.8</c:v>
                </c:pt>
                <c:pt idx="10">
                  <c:v>3.68</c:v>
                </c:pt>
                <c:pt idx="11">
                  <c:v>0.48</c:v>
                </c:pt>
                <c:pt idx="12">
                  <c:v>0.8</c:v>
                </c:pt>
                <c:pt idx="13">
                  <c:v>2.72</c:v>
                </c:pt>
                <c:pt idx="14">
                  <c:v>1.44</c:v>
                </c:pt>
                <c:pt idx="15">
                  <c:v>0.96</c:v>
                </c:pt>
                <c:pt idx="16">
                  <c:v>0.8</c:v>
                </c:pt>
                <c:pt idx="17">
                  <c:v>1.28</c:v>
                </c:pt>
                <c:pt idx="18">
                  <c:v>1.6</c:v>
                </c:pt>
                <c:pt idx="19">
                  <c:v>1.28</c:v>
                </c:pt>
                <c:pt idx="20">
                  <c:v>2.24</c:v>
                </c:pt>
                <c:pt idx="21">
                  <c:v>0.64</c:v>
                </c:pt>
                <c:pt idx="22">
                  <c:v>1.12</c:v>
                </c:pt>
                <c:pt idx="23">
                  <c:v>0.8</c:v>
                </c:pt>
                <c:pt idx="24">
                  <c:v>0.64</c:v>
                </c:pt>
                <c:pt idx="25">
                  <c:v>0.16</c:v>
                </c:pt>
                <c:pt idx="26">
                  <c:v>1.44</c:v>
                </c:pt>
                <c:pt idx="27">
                  <c:v>1.44</c:v>
                </c:pt>
                <c:pt idx="28">
                  <c:v>0.64</c:v>
                </c:pt>
                <c:pt idx="29">
                  <c:v>0.96</c:v>
                </c:pt>
                <c:pt idx="30">
                  <c:v>0.32</c:v>
                </c:pt>
                <c:pt idx="31">
                  <c:v>0.64</c:v>
                </c:pt>
                <c:pt idx="32">
                  <c:v>0.64</c:v>
                </c:pt>
                <c:pt idx="33">
                  <c:v>0.16</c:v>
                </c:pt>
                <c:pt idx="34">
                  <c:v>0.96</c:v>
                </c:pt>
                <c:pt idx="35">
                  <c:v>0.48</c:v>
                </c:pt>
                <c:pt idx="36">
                  <c:v>3.52</c:v>
                </c:pt>
                <c:pt idx="37">
                  <c:v>0.64</c:v>
                </c:pt>
              </c:numCache>
            </c:numRef>
          </c:val>
        </c:ser>
        <c:ser>
          <c:idx val="1"/>
          <c:order val="1"/>
          <c:tx>
            <c:strRef>
              <c:f>作图!$F$1</c:f>
              <c:strCache>
                <c:ptCount val="1"/>
                <c:pt idx="0">
                  <c:v>其他汽修</c:v>
                </c:pt>
              </c:strCache>
            </c:strRef>
          </c:tx>
          <c:spPr>
            <a:solidFill>
              <a:schemeClr val="accent2"/>
            </a:solidFill>
            <a:ln>
              <a:noFill/>
            </a:ln>
            <a:effectLst/>
          </c:spPr>
          <c:invertIfNegative val="0"/>
          <c:dLbls>
            <c:delete val="1"/>
          </c:dLbls>
          <c:cat>
            <c:strRef>
              <c:f>作图!$A$2:$A$39</c:f>
              <c:strCache>
                <c:ptCount val="38"/>
                <c:pt idx="0">
                  <c:v>渝北区</c:v>
                </c:pt>
                <c:pt idx="1">
                  <c:v>九龙坡区</c:v>
                </c:pt>
                <c:pt idx="2">
                  <c:v>江津区</c:v>
                </c:pt>
                <c:pt idx="3">
                  <c:v>万州区</c:v>
                </c:pt>
                <c:pt idx="4">
                  <c:v>南岸区</c:v>
                </c:pt>
                <c:pt idx="5">
                  <c:v>沙坪坝区</c:v>
                </c:pt>
                <c:pt idx="6">
                  <c:v>巴南区</c:v>
                </c:pt>
                <c:pt idx="7">
                  <c:v>永川区</c:v>
                </c:pt>
                <c:pt idx="8">
                  <c:v>涪陵区</c:v>
                </c:pt>
                <c:pt idx="9">
                  <c:v>开州区</c:v>
                </c:pt>
                <c:pt idx="10">
                  <c:v>江北区</c:v>
                </c:pt>
                <c:pt idx="11">
                  <c:v>大足区</c:v>
                </c:pt>
                <c:pt idx="12">
                  <c:v>北碚区</c:v>
                </c:pt>
                <c:pt idx="13">
                  <c:v>合川区</c:v>
                </c:pt>
                <c:pt idx="14">
                  <c:v>璧山区</c:v>
                </c:pt>
                <c:pt idx="15">
                  <c:v>铜梁区</c:v>
                </c:pt>
                <c:pt idx="16">
                  <c:v>綦江区</c:v>
                </c:pt>
                <c:pt idx="17">
                  <c:v>潼南区</c:v>
                </c:pt>
                <c:pt idx="18">
                  <c:v>长寿区</c:v>
                </c:pt>
                <c:pt idx="19">
                  <c:v>荣昌区</c:v>
                </c:pt>
                <c:pt idx="20">
                  <c:v>黔江区</c:v>
                </c:pt>
                <c:pt idx="21">
                  <c:v>南川区</c:v>
                </c:pt>
                <c:pt idx="22">
                  <c:v>垫江县</c:v>
                </c:pt>
                <c:pt idx="23">
                  <c:v>云阳县</c:v>
                </c:pt>
                <c:pt idx="24">
                  <c:v>秀山县</c:v>
                </c:pt>
                <c:pt idx="25">
                  <c:v>酉阳县</c:v>
                </c:pt>
                <c:pt idx="26">
                  <c:v>奉节县</c:v>
                </c:pt>
                <c:pt idx="27">
                  <c:v>忠县</c:v>
                </c:pt>
                <c:pt idx="28">
                  <c:v>彭水县</c:v>
                </c:pt>
                <c:pt idx="29">
                  <c:v>梁平区</c:v>
                </c:pt>
                <c:pt idx="30">
                  <c:v>丰都县</c:v>
                </c:pt>
                <c:pt idx="31">
                  <c:v>巫山县</c:v>
                </c:pt>
                <c:pt idx="32">
                  <c:v>石柱县</c:v>
                </c:pt>
                <c:pt idx="33">
                  <c:v>巫溪县</c:v>
                </c:pt>
                <c:pt idx="34">
                  <c:v>大渡口区</c:v>
                </c:pt>
                <c:pt idx="35">
                  <c:v>武隆区</c:v>
                </c:pt>
                <c:pt idx="36">
                  <c:v>渝中区</c:v>
                </c:pt>
                <c:pt idx="37">
                  <c:v>城口县</c:v>
                </c:pt>
              </c:strCache>
            </c:strRef>
          </c:cat>
          <c:val>
            <c:numRef>
              <c:f>作图!$F$2:$F$39</c:f>
              <c:numCache>
                <c:formatCode>General</c:formatCode>
                <c:ptCount val="38"/>
                <c:pt idx="0">
                  <c:v>144</c:v>
                </c:pt>
                <c:pt idx="1">
                  <c:v>131.04</c:v>
                </c:pt>
                <c:pt idx="2">
                  <c:v>81.28</c:v>
                </c:pt>
                <c:pt idx="3">
                  <c:v>72.8</c:v>
                </c:pt>
                <c:pt idx="4">
                  <c:v>70.72</c:v>
                </c:pt>
                <c:pt idx="5">
                  <c:v>74.4</c:v>
                </c:pt>
                <c:pt idx="6">
                  <c:v>68.48</c:v>
                </c:pt>
                <c:pt idx="7">
                  <c:v>57.6</c:v>
                </c:pt>
                <c:pt idx="8">
                  <c:v>54.56</c:v>
                </c:pt>
                <c:pt idx="9">
                  <c:v>55.04</c:v>
                </c:pt>
                <c:pt idx="10">
                  <c:v>44.8</c:v>
                </c:pt>
                <c:pt idx="11">
                  <c:v>45.6</c:v>
                </c:pt>
                <c:pt idx="12">
                  <c:v>44</c:v>
                </c:pt>
                <c:pt idx="13">
                  <c:v>40.96</c:v>
                </c:pt>
                <c:pt idx="14">
                  <c:v>41.6</c:v>
                </c:pt>
                <c:pt idx="15">
                  <c:v>40.16</c:v>
                </c:pt>
                <c:pt idx="16">
                  <c:v>37.6</c:v>
                </c:pt>
                <c:pt idx="17">
                  <c:v>36.16</c:v>
                </c:pt>
                <c:pt idx="18">
                  <c:v>33.6</c:v>
                </c:pt>
                <c:pt idx="19">
                  <c:v>30.72</c:v>
                </c:pt>
                <c:pt idx="20">
                  <c:v>29.6</c:v>
                </c:pt>
                <c:pt idx="21">
                  <c:v>31.2</c:v>
                </c:pt>
                <c:pt idx="22">
                  <c:v>30.08</c:v>
                </c:pt>
                <c:pt idx="23">
                  <c:v>27.2</c:v>
                </c:pt>
                <c:pt idx="24">
                  <c:v>26.24</c:v>
                </c:pt>
                <c:pt idx="25">
                  <c:v>26.56</c:v>
                </c:pt>
                <c:pt idx="26">
                  <c:v>23.68</c:v>
                </c:pt>
                <c:pt idx="27">
                  <c:v>22.72</c:v>
                </c:pt>
                <c:pt idx="28">
                  <c:v>23.52</c:v>
                </c:pt>
                <c:pt idx="29">
                  <c:v>20.48</c:v>
                </c:pt>
                <c:pt idx="30">
                  <c:v>20.64</c:v>
                </c:pt>
                <c:pt idx="31">
                  <c:v>20.32</c:v>
                </c:pt>
                <c:pt idx="32">
                  <c:v>17.92</c:v>
                </c:pt>
                <c:pt idx="33">
                  <c:v>18.24</c:v>
                </c:pt>
                <c:pt idx="34">
                  <c:v>15.84</c:v>
                </c:pt>
                <c:pt idx="35">
                  <c:v>16</c:v>
                </c:pt>
                <c:pt idx="36">
                  <c:v>9.92</c:v>
                </c:pt>
                <c:pt idx="37">
                  <c:v>8.8</c:v>
                </c:pt>
              </c:numCache>
            </c:numRef>
          </c:val>
        </c:ser>
        <c:dLbls>
          <c:showLegendKey val="0"/>
          <c:showVal val="0"/>
          <c:showCatName val="0"/>
          <c:showSerName val="0"/>
          <c:showPercent val="0"/>
          <c:showBubbleSize val="0"/>
        </c:dLbls>
        <c:gapWidth val="150"/>
        <c:overlap val="100"/>
        <c:axId val="201623424"/>
        <c:axId val="201624960"/>
      </c:barChart>
      <c:catAx>
        <c:axId val="20162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01624960"/>
        <c:crosses val="autoZero"/>
        <c:auto val="1"/>
        <c:lblAlgn val="ctr"/>
        <c:lblOffset val="100"/>
        <c:noMultiLvlLbl val="0"/>
      </c:catAx>
      <c:valAx>
        <c:axId val="20162496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r>
                  <a:rPr lang="zh-CN"/>
                  <a:t>企业数量（家）</a:t>
                </a:r>
                <a:endParaRPr lang="en-US"/>
              </a:p>
            </c:rich>
          </c:tx>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crossAx val="201623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800">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66</Pages>
  <Words>23981</Words>
  <Characters>26140</Characters>
  <Lines>2376</Lines>
  <Paragraphs>1165</Paragraphs>
  <TotalTime>2</TotalTime>
  <ScaleCrop>false</ScaleCrop>
  <LinksUpToDate>false</LinksUpToDate>
  <CharactersWithSpaces>48956</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2025-05-23T09:54:00Z</dcterms:created>
  <dc:creator>dreamsummit</dc:creator>
  <cp:lastModifiedBy>重庆市生态环境局_办公室_发文秘书</cp:lastModifiedBy>
  <cp:lastPrinted>2026-04-23T07:10:06Z</cp:lastPrinted>
  <dcterms:modified xsi:type="dcterms:W3CDTF">2026-04-23T07:19:32Z</dcterms:modified>
  <dc:title>附件2</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6C3D8FF0AA574C94B88CA61270515B9B_13</vt:lpwstr>
  </property>
  <property fmtid="{D5CDD505-2E9C-101B-9397-08002B2CF9AE}" pid="4" name="KSOTemplateDocerSaveRecord">
    <vt:lpwstr>eyJoZGlkIjoiNzUxOTVkN2ZmMjVjM2EzNTY4MWNhM2I2OGZkMjAyOTMiLCJ1c2VySWQiOiIxMDAwOTYyMjQ4In0=</vt:lpwstr>
  </property>
</Properties>
</file>